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4" w:type="dxa"/>
        <w:tblInd w:w="108" w:type="dxa"/>
        <w:tblLayout w:type="fixed"/>
        <w:tblLook w:val="04A0" w:firstRow="1" w:lastRow="0" w:firstColumn="1" w:lastColumn="0" w:noHBand="0" w:noVBand="1"/>
      </w:tblPr>
      <w:tblGrid>
        <w:gridCol w:w="2438"/>
        <w:gridCol w:w="6406"/>
      </w:tblGrid>
      <w:tr w:rsidR="00CE544A" w:rsidRPr="00975B07" w:rsidTr="00A6455B">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A6455B">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F4F57" w:rsidP="009F4F57">
            <w:pPr>
              <w:rPr>
                <w:b/>
              </w:rPr>
            </w:pPr>
            <w:r>
              <w:rPr>
                <w:b/>
              </w:rPr>
              <w:t>18 December 2019</w:t>
            </w:r>
          </w:p>
        </w:tc>
      </w:tr>
      <w:tr w:rsidR="00CE544A" w:rsidRPr="00975B07" w:rsidTr="00A6455B">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tbl>
            <w:tblPr>
              <w:tblW w:w="0" w:type="auto"/>
              <w:tblInd w:w="108" w:type="dxa"/>
              <w:tblLayout w:type="fixed"/>
              <w:tblLook w:val="04A0" w:firstRow="1" w:lastRow="0" w:firstColumn="1" w:lastColumn="0" w:noHBand="0" w:noVBand="1"/>
            </w:tblPr>
            <w:tblGrid>
              <w:gridCol w:w="6406"/>
            </w:tblGrid>
            <w:tr w:rsidR="00100580" w:rsidRPr="00100580" w:rsidTr="004D2145">
              <w:tc>
                <w:tcPr>
                  <w:tcW w:w="6406" w:type="dxa"/>
                  <w:shd w:val="clear" w:color="auto" w:fill="auto"/>
                </w:tcPr>
                <w:p w:rsidR="00100580" w:rsidRPr="00100580" w:rsidRDefault="00100580" w:rsidP="00100580">
                  <w:pPr>
                    <w:rPr>
                      <w:b/>
                    </w:rPr>
                  </w:pPr>
                  <w:r w:rsidRPr="00100580">
                    <w:rPr>
                      <w:b/>
                    </w:rPr>
                    <w:t xml:space="preserve">Executive Director of Sustainable City </w:t>
                  </w:r>
                </w:p>
              </w:tc>
            </w:tr>
          </w:tbl>
          <w:p w:rsidR="00F445B1" w:rsidRPr="001356F1" w:rsidRDefault="00F445B1" w:rsidP="008423BB">
            <w:pPr>
              <w:rPr>
                <w:rStyle w:val="Firstpagetablebold"/>
              </w:rPr>
            </w:pPr>
          </w:p>
        </w:tc>
      </w:tr>
      <w:tr w:rsidR="00CE544A" w:rsidRPr="00975B07" w:rsidTr="00A6455B">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F4F57" w:rsidP="009F4F57">
            <w:pPr>
              <w:rPr>
                <w:rStyle w:val="Firstpagetablebold"/>
              </w:rPr>
            </w:pPr>
            <w:r>
              <w:rPr>
                <w:rStyle w:val="Firstpagetablebold"/>
              </w:rPr>
              <w:t xml:space="preserve">Marsh </w:t>
            </w:r>
            <w:r w:rsidR="00715C53">
              <w:rPr>
                <w:rStyle w:val="Firstpagetablebold"/>
              </w:rPr>
              <w:t>Road Car Park</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4"/>
        <w:gridCol w:w="2012"/>
        <w:gridCol w:w="6407"/>
      </w:tblGrid>
      <w:tr w:rsidR="00D5547E" w:rsidTr="009646AB">
        <w:tc>
          <w:tcPr>
            <w:tcW w:w="8703"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9646AB">
        <w:tc>
          <w:tcPr>
            <w:tcW w:w="2296"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C72E7A" w:rsidRDefault="00715C53" w:rsidP="009F4F57">
            <w:r w:rsidRPr="00C72E7A">
              <w:t>To</w:t>
            </w:r>
            <w:r w:rsidR="003F5C11" w:rsidRPr="00C72E7A">
              <w:t xml:space="preserve"> introduce a </w:t>
            </w:r>
            <w:r w:rsidR="00E40DDF" w:rsidRPr="00C72E7A">
              <w:t>parking</w:t>
            </w:r>
            <w:r w:rsidR="003F5C11" w:rsidRPr="00C72E7A">
              <w:t xml:space="preserve"> tariff </w:t>
            </w:r>
            <w:r w:rsidR="00E40DDF" w:rsidRPr="00C72E7A">
              <w:t>at</w:t>
            </w:r>
            <w:r w:rsidR="003F5C11" w:rsidRPr="00C72E7A">
              <w:t xml:space="preserve"> </w:t>
            </w:r>
            <w:r w:rsidR="009F4F57" w:rsidRPr="00C72E7A">
              <w:t>Marsh R</w:t>
            </w:r>
            <w:r w:rsidR="009E1D20" w:rsidRPr="00C72E7A">
              <w:t xml:space="preserve">oad Recreation Ground </w:t>
            </w:r>
          </w:p>
        </w:tc>
      </w:tr>
      <w:tr w:rsidR="00D5547E" w:rsidTr="009646AB">
        <w:tc>
          <w:tcPr>
            <w:tcW w:w="2296"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C72E7A" w:rsidRDefault="00D5547E" w:rsidP="009F14D5">
            <w:r w:rsidRPr="009F4F57">
              <w:rPr>
                <w:i/>
                <w:color w:val="FF0000"/>
              </w:rPr>
              <w:t xml:space="preserve"> </w:t>
            </w:r>
            <w:r w:rsidRPr="00C72E7A">
              <w:rPr>
                <w:color w:val="auto"/>
              </w:rPr>
              <w:t>No</w:t>
            </w:r>
          </w:p>
        </w:tc>
      </w:tr>
      <w:tr w:rsidR="00D5547E" w:rsidTr="009646AB">
        <w:tc>
          <w:tcPr>
            <w:tcW w:w="2296"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C72E7A" w:rsidRDefault="009E1D20" w:rsidP="005F7F7E">
            <w:r w:rsidRPr="00C72E7A">
              <w:t>Councillor Hollingsworth</w:t>
            </w:r>
            <w:r w:rsidR="004E4EBF" w:rsidRPr="00C72E7A">
              <w:t>, Planning and Regulatory Services</w:t>
            </w:r>
          </w:p>
        </w:tc>
      </w:tr>
      <w:tr w:rsidR="0080749A" w:rsidTr="009646AB">
        <w:tc>
          <w:tcPr>
            <w:tcW w:w="2296"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C72E7A" w:rsidRDefault="004E4EBF" w:rsidP="005F7F7E">
            <w:r w:rsidRPr="00C72E7A">
              <w:t xml:space="preserve">A Vibrant and Sustainable </w:t>
            </w:r>
            <w:r w:rsidR="003F3A6F" w:rsidRPr="00C72E7A">
              <w:t>Economy.</w:t>
            </w:r>
          </w:p>
        </w:tc>
      </w:tr>
      <w:tr w:rsidR="00D5547E" w:rsidTr="009646AB">
        <w:tc>
          <w:tcPr>
            <w:tcW w:w="2296"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tcPr>
          <w:p w:rsidR="00D5547E" w:rsidRPr="00C72E7A" w:rsidRDefault="00656864" w:rsidP="005F7F7E">
            <w:r w:rsidRPr="00C72E7A">
              <w:t>N</w:t>
            </w:r>
            <w:r w:rsidR="00A92656" w:rsidRPr="00C72E7A">
              <w:t>one</w:t>
            </w:r>
          </w:p>
        </w:tc>
      </w:tr>
      <w:tr w:rsidR="005F7F7E" w:rsidRPr="00975B07" w:rsidTr="009646AB">
        <w:trPr>
          <w:trHeight w:val="413"/>
        </w:trPr>
        <w:tc>
          <w:tcPr>
            <w:tcW w:w="8703" w:type="dxa"/>
            <w:gridSpan w:val="3"/>
            <w:tcBorders>
              <w:bottom w:val="single" w:sz="8" w:space="0" w:color="000000"/>
            </w:tcBorders>
          </w:tcPr>
          <w:p w:rsidR="005F7F7E" w:rsidRPr="00975B07" w:rsidRDefault="005276A9" w:rsidP="004A6D2F">
            <w:proofErr w:type="spellStart"/>
            <w:r>
              <w:rPr>
                <w:rStyle w:val="Firstpagetablebold"/>
              </w:rPr>
              <w:t>Recommendations</w:t>
            </w:r>
            <w:r w:rsidR="005F7F7E">
              <w:rPr>
                <w:rStyle w:val="Firstpagetablebold"/>
              </w:rPr>
              <w:t>:</w:t>
            </w:r>
            <w:r w:rsidR="005F7F7E" w:rsidRPr="002D0288">
              <w:rPr>
                <w:rStyle w:val="Firstpagetablebold"/>
                <w:b w:val="0"/>
              </w:rPr>
              <w:t>That</w:t>
            </w:r>
            <w:proofErr w:type="spellEnd"/>
            <w:r w:rsidR="005F7F7E" w:rsidRPr="002D0288">
              <w:rPr>
                <w:rStyle w:val="Firstpagetablebold"/>
                <w:b w:val="0"/>
              </w:rPr>
              <w:t xml:space="preserve"> the City Executive Board resolves to:</w:t>
            </w:r>
          </w:p>
        </w:tc>
      </w:tr>
      <w:tr w:rsidR="0030208D" w:rsidRPr="00975B07" w:rsidTr="009646AB">
        <w:trPr>
          <w:trHeight w:val="283"/>
        </w:trPr>
        <w:tc>
          <w:tcPr>
            <w:tcW w:w="284" w:type="dxa"/>
            <w:tcBorders>
              <w:top w:val="single" w:sz="8" w:space="0" w:color="000000"/>
              <w:left w:val="single" w:sz="8" w:space="0" w:color="000000"/>
              <w:bottom w:val="nil"/>
              <w:right w:val="nil"/>
            </w:tcBorders>
          </w:tcPr>
          <w:p w:rsidR="0030208D" w:rsidRPr="00975B07" w:rsidRDefault="0030208D" w:rsidP="004A6D2F">
            <w:bookmarkStart w:id="0" w:name="_GoBack" w:colFirst="1" w:colLast="1"/>
          </w:p>
        </w:tc>
        <w:tc>
          <w:tcPr>
            <w:tcW w:w="8419" w:type="dxa"/>
            <w:gridSpan w:val="2"/>
            <w:tcBorders>
              <w:top w:val="single" w:sz="8" w:space="0" w:color="000000"/>
              <w:left w:val="nil"/>
              <w:bottom w:val="nil"/>
              <w:right w:val="single" w:sz="8" w:space="0" w:color="000000"/>
            </w:tcBorders>
            <w:shd w:val="clear" w:color="auto" w:fill="auto"/>
          </w:tcPr>
          <w:p w:rsidR="0030208D" w:rsidRPr="00C72E7A" w:rsidRDefault="002B66A0" w:rsidP="009646AB">
            <w:pPr>
              <w:pStyle w:val="ListParagraph"/>
              <w:numPr>
                <w:ilvl w:val="0"/>
                <w:numId w:val="38"/>
              </w:numPr>
              <w:ind w:left="317"/>
              <w:rPr>
                <w:b/>
              </w:rPr>
            </w:pPr>
            <w:r w:rsidRPr="005276A9">
              <w:rPr>
                <w:rStyle w:val="Firstpagetablebold"/>
              </w:rPr>
              <w:t>I</w:t>
            </w:r>
            <w:r w:rsidR="003F5C11" w:rsidRPr="005276A9">
              <w:rPr>
                <w:rStyle w:val="Firstpagetablebold"/>
              </w:rPr>
              <w:t>ntroduc</w:t>
            </w:r>
            <w:r w:rsidRPr="005276A9">
              <w:rPr>
                <w:rStyle w:val="Firstpagetablebold"/>
              </w:rPr>
              <w:t>e</w:t>
            </w:r>
            <w:r w:rsidR="003F5C11" w:rsidRPr="005276A9">
              <w:rPr>
                <w:rStyle w:val="Firstpagetablebold"/>
              </w:rPr>
              <w:t xml:space="preserve"> </w:t>
            </w:r>
            <w:r w:rsidRPr="00C72E7A">
              <w:rPr>
                <w:rStyle w:val="Firstpagetablebold"/>
                <w:b w:val="0"/>
              </w:rPr>
              <w:t>a</w:t>
            </w:r>
            <w:r w:rsidR="003F5C11" w:rsidRPr="00C72E7A">
              <w:rPr>
                <w:rStyle w:val="Firstpagetablebold"/>
                <w:b w:val="0"/>
              </w:rPr>
              <w:t xml:space="preserve"> pay &amp; display parking scheme at </w:t>
            </w:r>
            <w:r w:rsidR="009F4F57" w:rsidRPr="00C72E7A">
              <w:rPr>
                <w:rStyle w:val="Firstpagetablebold"/>
                <w:b w:val="0"/>
              </w:rPr>
              <w:t xml:space="preserve">Marsh </w:t>
            </w:r>
            <w:r w:rsidR="003F5C11" w:rsidRPr="00C72E7A">
              <w:rPr>
                <w:rStyle w:val="Firstpagetablebold"/>
                <w:b w:val="0"/>
              </w:rPr>
              <w:t>Road Car Park</w:t>
            </w:r>
            <w:r w:rsidR="002D0288">
              <w:rPr>
                <w:rStyle w:val="Firstpagetablebold"/>
                <w:b w:val="0"/>
              </w:rPr>
              <w:t>;</w:t>
            </w:r>
          </w:p>
        </w:tc>
      </w:tr>
      <w:tr w:rsidR="0030208D" w:rsidRPr="00975B07" w:rsidTr="009646AB">
        <w:trPr>
          <w:trHeight w:val="283"/>
        </w:trPr>
        <w:tc>
          <w:tcPr>
            <w:tcW w:w="284"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6C2A25" w:rsidRPr="00C72E7A" w:rsidRDefault="002B66A0" w:rsidP="008D0928">
            <w:pPr>
              <w:pStyle w:val="ListParagraph"/>
              <w:numPr>
                <w:ilvl w:val="0"/>
                <w:numId w:val="38"/>
              </w:numPr>
              <w:ind w:left="317"/>
            </w:pPr>
            <w:r w:rsidRPr="005276A9">
              <w:rPr>
                <w:rStyle w:val="Firstpagetablebold"/>
              </w:rPr>
              <w:t>Add</w:t>
            </w:r>
            <w:r w:rsidRPr="00C72E7A">
              <w:rPr>
                <w:rStyle w:val="Firstpagetablebold"/>
                <w:b w:val="0"/>
              </w:rPr>
              <w:t xml:space="preserve"> </w:t>
            </w:r>
            <w:r w:rsidR="009F4F57" w:rsidRPr="00C72E7A">
              <w:rPr>
                <w:rStyle w:val="Firstpagetablebold"/>
                <w:b w:val="0"/>
              </w:rPr>
              <w:t xml:space="preserve">Marsh </w:t>
            </w:r>
            <w:r w:rsidR="00F9500D" w:rsidRPr="00C72E7A">
              <w:rPr>
                <w:rStyle w:val="Firstpagetablebold"/>
                <w:b w:val="0"/>
              </w:rPr>
              <w:t xml:space="preserve">Road </w:t>
            </w:r>
            <w:r w:rsidR="009F4F57" w:rsidRPr="00C72E7A">
              <w:rPr>
                <w:rStyle w:val="Firstpagetablebold"/>
                <w:b w:val="0"/>
              </w:rPr>
              <w:t>C</w:t>
            </w:r>
            <w:r w:rsidRPr="00C72E7A">
              <w:rPr>
                <w:rStyle w:val="Firstpagetablebold"/>
                <w:b w:val="0"/>
              </w:rPr>
              <w:t xml:space="preserve">ar </w:t>
            </w:r>
            <w:r w:rsidR="009F14D5" w:rsidRPr="00C72E7A">
              <w:rPr>
                <w:rStyle w:val="Firstpagetablebold"/>
                <w:b w:val="0"/>
              </w:rPr>
              <w:t>P</w:t>
            </w:r>
            <w:r w:rsidRPr="00C72E7A">
              <w:rPr>
                <w:rStyle w:val="Firstpagetablebold"/>
                <w:b w:val="0"/>
              </w:rPr>
              <w:t>ark to the existing</w:t>
            </w:r>
            <w:r w:rsidR="003F5C11" w:rsidRPr="00C72E7A">
              <w:rPr>
                <w:rStyle w:val="Firstpagetablebold"/>
                <w:b w:val="0"/>
              </w:rPr>
              <w:t xml:space="preserve"> </w:t>
            </w:r>
            <w:r w:rsidR="001E1ACA">
              <w:rPr>
                <w:rStyle w:val="Firstpagetablebold"/>
                <w:b w:val="0"/>
              </w:rPr>
              <w:t xml:space="preserve">Off-Street </w:t>
            </w:r>
            <w:r w:rsidR="009F14D5" w:rsidRPr="00C72E7A">
              <w:rPr>
                <w:rStyle w:val="Firstpagetablebold"/>
                <w:b w:val="0"/>
              </w:rPr>
              <w:t>P</w:t>
            </w:r>
            <w:r w:rsidR="006C2A25" w:rsidRPr="00C72E7A">
              <w:rPr>
                <w:rStyle w:val="Firstpagetablebold"/>
                <w:b w:val="0"/>
              </w:rPr>
              <w:t>ark</w:t>
            </w:r>
            <w:r w:rsidR="001E1ACA">
              <w:rPr>
                <w:rStyle w:val="Firstpagetablebold"/>
                <w:b w:val="0"/>
              </w:rPr>
              <w:t>ing</w:t>
            </w:r>
            <w:r w:rsidR="006C2A25" w:rsidRPr="00C72E7A">
              <w:rPr>
                <w:rStyle w:val="Firstpagetablebold"/>
                <w:b w:val="0"/>
              </w:rPr>
              <w:t xml:space="preserve">  </w:t>
            </w:r>
            <w:r w:rsidR="009F14D5" w:rsidRPr="00C72E7A">
              <w:rPr>
                <w:rStyle w:val="Firstpagetablebold"/>
                <w:b w:val="0"/>
              </w:rPr>
              <w:t>Order</w:t>
            </w:r>
            <w:r w:rsidR="002D0288">
              <w:rPr>
                <w:rStyle w:val="Firstpagetablebold"/>
                <w:b w:val="0"/>
              </w:rPr>
              <w:t>;</w:t>
            </w:r>
          </w:p>
        </w:tc>
      </w:tr>
      <w:tr w:rsidR="00232F5B" w:rsidRPr="00975B07" w:rsidTr="009646AB">
        <w:trPr>
          <w:trHeight w:val="283"/>
        </w:trPr>
        <w:tc>
          <w:tcPr>
            <w:tcW w:w="284" w:type="dxa"/>
            <w:tcBorders>
              <w:top w:val="nil"/>
              <w:left w:val="single" w:sz="8" w:space="0" w:color="000000"/>
              <w:bottom w:val="nil"/>
              <w:right w:val="nil"/>
            </w:tcBorders>
          </w:tcPr>
          <w:p w:rsidR="0030208D" w:rsidRPr="00975B07" w:rsidRDefault="00046D2B" w:rsidP="004A6D2F">
            <w:r w:rsidRPr="00975B07">
              <w:t>.</w:t>
            </w:r>
          </w:p>
        </w:tc>
        <w:tc>
          <w:tcPr>
            <w:tcW w:w="8419" w:type="dxa"/>
            <w:gridSpan w:val="2"/>
            <w:tcBorders>
              <w:top w:val="nil"/>
              <w:left w:val="nil"/>
              <w:bottom w:val="nil"/>
              <w:right w:val="single" w:sz="8" w:space="0" w:color="000000"/>
            </w:tcBorders>
            <w:shd w:val="clear" w:color="auto" w:fill="auto"/>
          </w:tcPr>
          <w:p w:rsidR="00C72E7A" w:rsidRPr="00C72E7A" w:rsidRDefault="002B66A0" w:rsidP="009646AB">
            <w:pPr>
              <w:pStyle w:val="ListParagraph"/>
              <w:numPr>
                <w:ilvl w:val="0"/>
                <w:numId w:val="38"/>
              </w:numPr>
              <w:ind w:left="317"/>
            </w:pPr>
            <w:r w:rsidRPr="005276A9">
              <w:rPr>
                <w:rStyle w:val="Firstpagetablebold"/>
              </w:rPr>
              <w:t xml:space="preserve">Agree </w:t>
            </w:r>
            <w:r w:rsidRPr="00C72E7A">
              <w:rPr>
                <w:rStyle w:val="Firstpagetablebold"/>
                <w:b w:val="0"/>
              </w:rPr>
              <w:t>that</w:t>
            </w:r>
            <w:r w:rsidR="006C2A25" w:rsidRPr="00C72E7A">
              <w:rPr>
                <w:rStyle w:val="Firstpagetablebold"/>
                <w:b w:val="0"/>
              </w:rPr>
              <w:t xml:space="preserve"> the level of</w:t>
            </w:r>
            <w:r w:rsidR="003F5C11" w:rsidRPr="00C72E7A">
              <w:rPr>
                <w:rStyle w:val="Firstpagetablebold"/>
                <w:b w:val="0"/>
              </w:rPr>
              <w:t xml:space="preserve"> penalty charges</w:t>
            </w:r>
            <w:r w:rsidR="006C2A25" w:rsidRPr="00C72E7A">
              <w:t xml:space="preserve"> </w:t>
            </w:r>
            <w:r w:rsidR="006C2A25" w:rsidRPr="00C72E7A">
              <w:rPr>
                <w:rStyle w:val="Firstpagetablebold"/>
                <w:b w:val="0"/>
              </w:rPr>
              <w:t xml:space="preserve">is kept in accordance with all other </w:t>
            </w:r>
            <w:r w:rsidR="002D0288">
              <w:rPr>
                <w:rStyle w:val="Firstpagetablebold"/>
                <w:b w:val="0"/>
              </w:rPr>
              <w:t>City Council operated car parks;</w:t>
            </w:r>
            <w:r w:rsidR="003F5C11" w:rsidRPr="00C72E7A">
              <w:rPr>
                <w:rStyle w:val="Firstpagetablebold"/>
                <w:b w:val="0"/>
              </w:rPr>
              <w:t xml:space="preserve"> </w:t>
            </w:r>
          </w:p>
        </w:tc>
      </w:tr>
      <w:tr w:rsidR="00232F5B" w:rsidRPr="00975B07" w:rsidTr="009646AB">
        <w:trPr>
          <w:trHeight w:val="283"/>
        </w:trPr>
        <w:tc>
          <w:tcPr>
            <w:tcW w:w="284"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2D0288" w:rsidRDefault="002B66A0" w:rsidP="002D0288">
            <w:pPr>
              <w:pStyle w:val="ListParagraph"/>
              <w:numPr>
                <w:ilvl w:val="0"/>
                <w:numId w:val="38"/>
              </w:numPr>
              <w:ind w:left="317"/>
            </w:pPr>
            <w:r w:rsidRPr="005276A9">
              <w:rPr>
                <w:b/>
              </w:rPr>
              <w:t>Agree</w:t>
            </w:r>
            <w:r w:rsidRPr="00C72E7A">
              <w:t xml:space="preserve"> the tariff level and hours of operation </w:t>
            </w:r>
            <w:r w:rsidR="00F9500D" w:rsidRPr="00C72E7A">
              <w:t xml:space="preserve">at the </w:t>
            </w:r>
            <w:r w:rsidRPr="00C72E7A">
              <w:t xml:space="preserve">car park </w:t>
            </w:r>
            <w:r w:rsidR="002D0288">
              <w:t xml:space="preserve">as set out in the </w:t>
            </w:r>
            <w:r w:rsidR="00A6455B">
              <w:t xml:space="preserve">report; and </w:t>
            </w:r>
          </w:p>
          <w:p w:rsidR="002B49B4" w:rsidRPr="002D0288" w:rsidRDefault="009646AB" w:rsidP="002D0288">
            <w:pPr>
              <w:pStyle w:val="ListParagraph"/>
              <w:numPr>
                <w:ilvl w:val="0"/>
                <w:numId w:val="38"/>
              </w:numPr>
              <w:ind w:left="317"/>
            </w:pPr>
            <w:r w:rsidRPr="002D0288">
              <w:rPr>
                <w:b/>
              </w:rPr>
              <w:t>Delegate</w:t>
            </w:r>
            <w:r w:rsidRPr="009646AB">
              <w:t xml:space="preserve"> to the Executive Director of Sustainable City the consideration of any consultation responses in consultation with the Portfolio holder for Planning and Transport and to take any steps</w:t>
            </w:r>
            <w:r w:rsidR="00AB143F" w:rsidRPr="002D0288">
              <w:rPr>
                <w:rFonts w:eastAsiaTheme="minorHAnsi" w:cs="Arial"/>
                <w:i/>
                <w:iCs/>
                <w:color w:val="auto"/>
                <w:lang w:val="en" w:eastAsia="en-US"/>
              </w:rPr>
              <w:t xml:space="preserve"> </w:t>
            </w:r>
            <w:r w:rsidR="00AB143F" w:rsidRPr="002D0288">
              <w:rPr>
                <w:iCs/>
                <w:lang w:val="en"/>
              </w:rPr>
              <w:t>necessary to confirm the parking order.</w:t>
            </w:r>
          </w:p>
        </w:tc>
      </w:tr>
      <w:bookmarkEnd w:id="0"/>
    </w:tbl>
    <w:p w:rsidR="002E754E" w:rsidRPr="009E51FC" w:rsidRDefault="002E754E"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2B49B4">
        <w:tc>
          <w:tcPr>
            <w:tcW w:w="8844" w:type="dxa"/>
            <w:gridSpan w:val="2"/>
            <w:tcBorders>
              <w:top w:val="single" w:sz="8" w:space="0" w:color="000000"/>
              <w:left w:val="single" w:sz="8" w:space="0" w:color="000000"/>
              <w:bottom w:val="nil"/>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844FD3" w:rsidRPr="00975B07" w:rsidTr="002B49B4">
        <w:trPr>
          <w:trHeight w:val="313"/>
        </w:trPr>
        <w:tc>
          <w:tcPr>
            <w:tcW w:w="2438" w:type="dxa"/>
            <w:tcBorders>
              <w:top w:val="nil"/>
              <w:left w:val="single" w:sz="8" w:space="0" w:color="000000"/>
              <w:bottom w:val="single" w:sz="4" w:space="0" w:color="auto"/>
              <w:right w:val="nil"/>
            </w:tcBorders>
            <w:shd w:val="clear" w:color="auto" w:fill="auto"/>
          </w:tcPr>
          <w:p w:rsidR="00844FD3" w:rsidRPr="00975B07" w:rsidRDefault="00844FD3" w:rsidP="004A6D2F">
            <w:r>
              <w:t xml:space="preserve">Appendix </w:t>
            </w:r>
          </w:p>
        </w:tc>
        <w:tc>
          <w:tcPr>
            <w:tcW w:w="6406" w:type="dxa"/>
            <w:tcBorders>
              <w:top w:val="nil"/>
              <w:left w:val="nil"/>
              <w:bottom w:val="single" w:sz="4" w:space="0" w:color="auto"/>
              <w:right w:val="single" w:sz="8" w:space="0" w:color="000000"/>
            </w:tcBorders>
          </w:tcPr>
          <w:p w:rsidR="00844FD3" w:rsidRDefault="00844FD3" w:rsidP="002B66A0">
            <w:r>
              <w:t>Planning Notice</w:t>
            </w:r>
          </w:p>
        </w:tc>
      </w:tr>
    </w:tbl>
    <w:p w:rsidR="002B49B4" w:rsidRDefault="002B49B4" w:rsidP="004A6D2F">
      <w:pPr>
        <w:pStyle w:val="Heading1"/>
      </w:pPr>
    </w:p>
    <w:p w:rsidR="002B49B4" w:rsidRDefault="002B49B4" w:rsidP="004A6D2F">
      <w:pPr>
        <w:pStyle w:val="Heading1"/>
      </w:pPr>
    </w:p>
    <w:p w:rsidR="002B49B4" w:rsidRDefault="002B49B4" w:rsidP="004A6D2F">
      <w:pPr>
        <w:pStyle w:val="Heading1"/>
      </w:pPr>
    </w:p>
    <w:p w:rsidR="00F5448E" w:rsidRDefault="00F66DCA" w:rsidP="00A6455B">
      <w:pPr>
        <w:pStyle w:val="Heading1"/>
      </w:pPr>
      <w:r w:rsidRPr="001356F1">
        <w:lastRenderedPageBreak/>
        <w:t>Introduction and b</w:t>
      </w:r>
      <w:r w:rsidR="00151888" w:rsidRPr="001356F1">
        <w:t>ackground</w:t>
      </w:r>
      <w:r w:rsidR="00404032" w:rsidRPr="001356F1">
        <w:t xml:space="preserve"> </w:t>
      </w:r>
    </w:p>
    <w:p w:rsidR="00F5448E" w:rsidRPr="00F92053" w:rsidRDefault="00F5448E" w:rsidP="008E4648">
      <w:pPr>
        <w:pStyle w:val="ListParagraph"/>
        <w:contextualSpacing/>
      </w:pPr>
      <w:r w:rsidRPr="00F92053">
        <w:t>Parking charges in Park locations were first int</w:t>
      </w:r>
      <w:r w:rsidR="00772422" w:rsidRPr="00F92053">
        <w:t>roduced in September 2011 with the objective being to manage the lim</w:t>
      </w:r>
      <w:r w:rsidR="009F4F57" w:rsidRPr="00F92053">
        <w:t>ited spaces available</w:t>
      </w:r>
      <w:r w:rsidR="00772422" w:rsidRPr="00F92053">
        <w:t>.</w:t>
      </w:r>
    </w:p>
    <w:p w:rsidR="00F5448E" w:rsidRPr="00677249" w:rsidRDefault="00F5448E" w:rsidP="005F2D4B">
      <w:pPr>
        <w:pStyle w:val="ListParagraph"/>
        <w:numPr>
          <w:ilvl w:val="0"/>
          <w:numId w:val="0"/>
        </w:numPr>
        <w:ind w:left="426"/>
        <w:contextualSpacing/>
      </w:pPr>
    </w:p>
    <w:p w:rsidR="00CD5B86" w:rsidRPr="00F92053" w:rsidRDefault="00F5448E">
      <w:pPr>
        <w:pStyle w:val="ListParagraph"/>
        <w:contextualSpacing/>
      </w:pPr>
      <w:r w:rsidRPr="00F92053">
        <w:t xml:space="preserve">The current locations include </w:t>
      </w:r>
      <w:r w:rsidR="00CD5B86" w:rsidRPr="00F92053">
        <w:t xml:space="preserve">Oatlands Road, </w:t>
      </w:r>
      <w:r w:rsidRPr="00F92053">
        <w:t>Walton Well Road, Alexander Court, Hinksey Park an</w:t>
      </w:r>
      <w:r w:rsidR="00A64924" w:rsidRPr="00F92053">
        <w:t xml:space="preserve">d two car parks in </w:t>
      </w:r>
      <w:proofErr w:type="spellStart"/>
      <w:r w:rsidR="00A64924" w:rsidRPr="00F92053">
        <w:t>Cutteslowe</w:t>
      </w:r>
      <w:proofErr w:type="spellEnd"/>
      <w:r w:rsidR="0086660F" w:rsidRPr="00F92053">
        <w:t>:</w:t>
      </w:r>
      <w:r w:rsidR="00A64924" w:rsidRPr="00F92053">
        <w:t xml:space="preserve"> </w:t>
      </w:r>
      <w:proofErr w:type="spellStart"/>
      <w:r w:rsidR="009F4F57" w:rsidRPr="00F92053">
        <w:t>H</w:t>
      </w:r>
      <w:r w:rsidR="00CD5B86" w:rsidRPr="00F92053">
        <w:t>arbord</w:t>
      </w:r>
      <w:proofErr w:type="spellEnd"/>
      <w:r w:rsidR="00CD5B86" w:rsidRPr="00F92053">
        <w:t xml:space="preserve"> Road and </w:t>
      </w:r>
      <w:proofErr w:type="spellStart"/>
      <w:r w:rsidR="00CD5B86" w:rsidRPr="00F92053">
        <w:t>Cutteslowe</w:t>
      </w:r>
      <w:proofErr w:type="spellEnd"/>
      <w:r w:rsidR="00CD5B86" w:rsidRPr="00F92053">
        <w:t xml:space="preserve"> A40. </w:t>
      </w:r>
    </w:p>
    <w:p w:rsidR="00CD5B86" w:rsidRPr="00CD5B86" w:rsidRDefault="00CD5B86" w:rsidP="00CD5B86">
      <w:pPr>
        <w:pStyle w:val="ListParagraph"/>
        <w:numPr>
          <w:ilvl w:val="0"/>
          <w:numId w:val="0"/>
        </w:numPr>
        <w:ind w:left="426"/>
        <w:rPr>
          <w:i/>
        </w:rPr>
      </w:pPr>
    </w:p>
    <w:p w:rsidR="00F5448E" w:rsidRPr="00F92053" w:rsidRDefault="00CD5B86">
      <w:pPr>
        <w:pStyle w:val="ListParagraph"/>
        <w:contextualSpacing/>
      </w:pPr>
      <w:r w:rsidRPr="00F92053">
        <w:t xml:space="preserve">The Council has also recently approved a proposal at Court Place Farm, although this scheme has not yet been introduced. </w:t>
      </w:r>
      <w:r w:rsidR="009F4F57" w:rsidRPr="00F92053">
        <w:t xml:space="preserve"> </w:t>
      </w:r>
    </w:p>
    <w:p w:rsidR="00F5448E" w:rsidRPr="00677249" w:rsidRDefault="00F5448E" w:rsidP="005F2D4B">
      <w:pPr>
        <w:pStyle w:val="ListParagraph"/>
        <w:numPr>
          <w:ilvl w:val="0"/>
          <w:numId w:val="0"/>
        </w:numPr>
        <w:ind w:left="426"/>
        <w:contextualSpacing/>
      </w:pPr>
    </w:p>
    <w:p w:rsidR="00F5448E" w:rsidRPr="00F92053" w:rsidRDefault="00F5448E" w:rsidP="0086660F">
      <w:pPr>
        <w:pStyle w:val="ListParagraph"/>
        <w:contextualSpacing/>
      </w:pPr>
      <w:r w:rsidRPr="00F92053">
        <w:t xml:space="preserve">The tariff charged at each car park </w:t>
      </w:r>
      <w:r w:rsidR="00772422" w:rsidRPr="00F92053">
        <w:t xml:space="preserve">varies </w:t>
      </w:r>
      <w:r w:rsidR="00D1326C" w:rsidRPr="00F92053">
        <w:t xml:space="preserve">as it </w:t>
      </w:r>
      <w:r w:rsidRPr="00F92053">
        <w:t>endeavours to take into account local circumstance</w:t>
      </w:r>
      <w:r w:rsidR="00D1326C" w:rsidRPr="00F92053">
        <w:t>s</w:t>
      </w:r>
      <w:r w:rsidRPr="00F92053">
        <w:t xml:space="preserve">. </w:t>
      </w:r>
      <w:r w:rsidR="002B49B4">
        <w:t xml:space="preserve">Paragraph 11 </w:t>
      </w:r>
      <w:r w:rsidR="00F92053" w:rsidRPr="00844FD3">
        <w:t>details t</w:t>
      </w:r>
      <w:r w:rsidRPr="00844FD3">
        <w:t xml:space="preserve">he proposed tariff </w:t>
      </w:r>
      <w:r w:rsidR="00CD5B86" w:rsidRPr="00844FD3">
        <w:t>for Marsh R</w:t>
      </w:r>
      <w:r w:rsidR="00CF7B42" w:rsidRPr="00844FD3">
        <w:t>oa</w:t>
      </w:r>
      <w:r w:rsidR="00CD5B86" w:rsidRPr="00844FD3">
        <w:t>d</w:t>
      </w:r>
      <w:r w:rsidR="002D0288">
        <w:t xml:space="preserve"> and</w:t>
      </w:r>
      <w:proofErr w:type="gramStart"/>
      <w:r w:rsidR="002B49B4">
        <w:t>,  f</w:t>
      </w:r>
      <w:r w:rsidR="00F92053" w:rsidRPr="008D0928">
        <w:t>or</w:t>
      </w:r>
      <w:proofErr w:type="gramEnd"/>
      <w:r w:rsidR="00F92053" w:rsidRPr="008D0928">
        <w:t xml:space="preserve"> comparison purposes, </w:t>
      </w:r>
      <w:r w:rsidR="002B49B4">
        <w:t xml:space="preserve"> the Park </w:t>
      </w:r>
      <w:r w:rsidR="007B5FA3" w:rsidRPr="00F92053">
        <w:t>tariffs operating elsewhere within the city</w:t>
      </w:r>
      <w:r w:rsidR="00F9500D" w:rsidRPr="00F92053">
        <w:t>.</w:t>
      </w:r>
    </w:p>
    <w:p w:rsidR="0043573C" w:rsidRPr="0043573C" w:rsidRDefault="0043573C" w:rsidP="0043573C">
      <w:pPr>
        <w:pStyle w:val="ListParagraph"/>
        <w:numPr>
          <w:ilvl w:val="0"/>
          <w:numId w:val="0"/>
        </w:numPr>
        <w:ind w:left="426"/>
        <w:rPr>
          <w:i/>
        </w:rPr>
      </w:pPr>
    </w:p>
    <w:p w:rsidR="0043573C" w:rsidRPr="00F92053" w:rsidRDefault="0043573C" w:rsidP="00844FD3">
      <w:pPr>
        <w:pStyle w:val="ListParagraph"/>
        <w:ind w:left="360" w:hanging="360"/>
        <w:contextualSpacing/>
      </w:pPr>
      <w:r w:rsidRPr="00F92053">
        <w:t>A planning application was submitted and approved that allowed the car park to be</w:t>
      </w:r>
      <w:r w:rsidR="00E32E2C">
        <w:t xml:space="preserve"> improved, reconfigured and</w:t>
      </w:r>
      <w:r w:rsidRPr="00F92053">
        <w:t xml:space="preserve"> marginally increased.</w:t>
      </w:r>
      <w:r w:rsidR="00844FD3" w:rsidRPr="00844FD3">
        <w:t xml:space="preserve"> As a condition of that approval a charging regime that prevents the car park being used for commuter car parking was required</w:t>
      </w:r>
    </w:p>
    <w:p w:rsidR="002759A6" w:rsidRPr="00677249" w:rsidRDefault="002759A6" w:rsidP="002D10D3">
      <w:pPr>
        <w:pStyle w:val="ListParagraph"/>
        <w:numPr>
          <w:ilvl w:val="0"/>
          <w:numId w:val="0"/>
        </w:numPr>
        <w:ind w:left="426"/>
        <w:contextualSpacing/>
      </w:pPr>
    </w:p>
    <w:p w:rsidR="006C2A25" w:rsidRPr="00F92053" w:rsidRDefault="006C2A25" w:rsidP="006C2A25">
      <w:pPr>
        <w:pStyle w:val="ListParagraph"/>
        <w:ind w:left="360" w:hanging="360"/>
      </w:pPr>
      <w:r w:rsidRPr="00F92053">
        <w:t xml:space="preserve">Significant capital investment </w:t>
      </w:r>
      <w:r w:rsidR="0043573C" w:rsidRPr="00F92053">
        <w:t xml:space="preserve">was subsequently </w:t>
      </w:r>
      <w:r w:rsidR="00AB143F">
        <w:t>made</w:t>
      </w:r>
      <w:r w:rsidRPr="00F92053">
        <w:t xml:space="preserve"> in th</w:t>
      </w:r>
      <w:r w:rsidR="0043573C" w:rsidRPr="00F92053">
        <w:t>e</w:t>
      </w:r>
      <w:r w:rsidRPr="00F92053">
        <w:t xml:space="preserve"> car park to bring the surface up to an acceptable standard.  </w:t>
      </w:r>
    </w:p>
    <w:p w:rsidR="00BA3A75" w:rsidRPr="00BA3A75" w:rsidRDefault="00BA3A75" w:rsidP="00BA3A75">
      <w:pPr>
        <w:pStyle w:val="ListParagraph"/>
        <w:numPr>
          <w:ilvl w:val="0"/>
          <w:numId w:val="0"/>
        </w:numPr>
        <w:ind w:left="426"/>
        <w:rPr>
          <w:i/>
        </w:rPr>
      </w:pPr>
    </w:p>
    <w:p w:rsidR="00BA3A75" w:rsidRPr="00AB41A0" w:rsidRDefault="00BA3A75" w:rsidP="006C2A25">
      <w:pPr>
        <w:pStyle w:val="ListParagraph"/>
        <w:ind w:left="360" w:hanging="360"/>
      </w:pPr>
      <w:r w:rsidRPr="00AB41A0">
        <w:t xml:space="preserve">To ensure the car park is controlled and in an effort to prevent misuse of the site, it is proposed that parking charges </w:t>
      </w:r>
      <w:r w:rsidR="00F92053" w:rsidRPr="00AB41A0">
        <w:t xml:space="preserve">are introduced and that the tariff implemented </w:t>
      </w:r>
      <w:r w:rsidRPr="00AB41A0">
        <w:t>facilitate</w:t>
      </w:r>
      <w:r w:rsidR="00F92053" w:rsidRPr="00AB41A0">
        <w:t>s</w:t>
      </w:r>
      <w:r w:rsidRPr="00AB41A0">
        <w:t xml:space="preserve"> leisure us</w:t>
      </w:r>
      <w:r w:rsidR="00F92053" w:rsidRPr="00AB41A0">
        <w:t>ers</w:t>
      </w:r>
      <w:r w:rsidRPr="00AB41A0">
        <w:t xml:space="preserve"> and discourage</w:t>
      </w:r>
      <w:r w:rsidR="00F92053" w:rsidRPr="00AB41A0">
        <w:t>s</w:t>
      </w:r>
      <w:r w:rsidRPr="00AB41A0">
        <w:t xml:space="preserve"> long-stay parking. </w:t>
      </w:r>
    </w:p>
    <w:p w:rsidR="0043573C" w:rsidRDefault="0043573C" w:rsidP="005F2D4B">
      <w:pPr>
        <w:pStyle w:val="ListParagraph"/>
        <w:numPr>
          <w:ilvl w:val="0"/>
          <w:numId w:val="0"/>
        </w:numPr>
        <w:ind w:left="426"/>
        <w:contextualSpacing/>
      </w:pPr>
    </w:p>
    <w:p w:rsidR="0043573C" w:rsidRPr="00677249" w:rsidRDefault="0043573C" w:rsidP="005F2D4B">
      <w:pPr>
        <w:pStyle w:val="ListParagraph"/>
        <w:numPr>
          <w:ilvl w:val="0"/>
          <w:numId w:val="0"/>
        </w:numPr>
        <w:ind w:left="426"/>
        <w:contextualSpacing/>
      </w:pPr>
    </w:p>
    <w:p w:rsidR="003F3091" w:rsidRDefault="003F3091">
      <w:pPr>
        <w:pStyle w:val="ListParagraph"/>
        <w:numPr>
          <w:ilvl w:val="0"/>
          <w:numId w:val="0"/>
        </w:numPr>
        <w:contextualSpacing/>
        <w:rPr>
          <w:i/>
        </w:rPr>
      </w:pPr>
      <w:r w:rsidRPr="003F3091">
        <w:rPr>
          <w:b/>
        </w:rPr>
        <w:t>Current Operation</w:t>
      </w:r>
    </w:p>
    <w:p w:rsidR="003F3091" w:rsidRPr="00AB41A0" w:rsidRDefault="003F3091">
      <w:pPr>
        <w:pStyle w:val="ListParagraph"/>
        <w:contextualSpacing/>
      </w:pPr>
      <w:r w:rsidRPr="00AB41A0">
        <w:t xml:space="preserve">The car park currently operates without any parking controls. Customers are not required to pay to use the facility nor are they restricted to a maximum time period. </w:t>
      </w:r>
    </w:p>
    <w:p w:rsidR="003F3091" w:rsidRPr="00677249" w:rsidRDefault="003F3091" w:rsidP="005F2D4B">
      <w:pPr>
        <w:pStyle w:val="ListParagraph"/>
        <w:numPr>
          <w:ilvl w:val="0"/>
          <w:numId w:val="0"/>
        </w:numPr>
        <w:ind w:left="426"/>
        <w:contextualSpacing/>
      </w:pPr>
    </w:p>
    <w:p w:rsidR="007B771C" w:rsidRPr="003C4CC3" w:rsidRDefault="003C4CC3" w:rsidP="007B771C">
      <w:pPr>
        <w:pStyle w:val="ListParagraph"/>
        <w:ind w:left="360" w:hanging="360"/>
      </w:pPr>
      <w:r w:rsidRPr="003C4CC3">
        <w:t>To adhere to a planning condition, charges will be introduced that discourages commuter parking.</w:t>
      </w:r>
    </w:p>
    <w:p w:rsidR="008D0928" w:rsidRDefault="008D0928" w:rsidP="008D0928">
      <w:pPr>
        <w:pStyle w:val="ListParagraph"/>
        <w:numPr>
          <w:ilvl w:val="0"/>
          <w:numId w:val="0"/>
        </w:numPr>
        <w:ind w:left="360"/>
        <w:rPr>
          <w:highlight w:val="yellow"/>
        </w:rPr>
      </w:pPr>
    </w:p>
    <w:p w:rsidR="00BB41C6" w:rsidRDefault="00E43C17" w:rsidP="007B771C">
      <w:pPr>
        <w:pStyle w:val="ListParagraph"/>
        <w:ind w:left="360" w:hanging="360"/>
      </w:pPr>
      <w:r>
        <w:t>I</w:t>
      </w:r>
      <w:r w:rsidR="00BB41C6" w:rsidRPr="00AB41A0">
        <w:t xml:space="preserve">t is </w:t>
      </w:r>
      <w:r>
        <w:t xml:space="preserve">known </w:t>
      </w:r>
      <w:r w:rsidR="00BB41C6" w:rsidRPr="00AB41A0">
        <w:t xml:space="preserve">that </w:t>
      </w:r>
      <w:r>
        <w:t xml:space="preserve">a number of </w:t>
      </w:r>
      <w:r w:rsidR="00BB41C6" w:rsidRPr="00AB41A0">
        <w:t>local businesses also utilise the car park</w:t>
      </w:r>
      <w:r>
        <w:t xml:space="preserve"> during the daytime period.</w:t>
      </w:r>
      <w:r w:rsidR="00BB41C6" w:rsidRPr="00AB41A0">
        <w:t xml:space="preserve">  </w:t>
      </w:r>
    </w:p>
    <w:p w:rsidR="006C2A25" w:rsidRPr="003F3091" w:rsidRDefault="003F3091" w:rsidP="00A6455B">
      <w:pPr>
        <w:pStyle w:val="bParagraphtext"/>
        <w:numPr>
          <w:ilvl w:val="0"/>
          <w:numId w:val="0"/>
        </w:numPr>
        <w:contextualSpacing/>
        <w:rPr>
          <w:b/>
        </w:rPr>
      </w:pPr>
      <w:r w:rsidRPr="003F3091">
        <w:rPr>
          <w:b/>
        </w:rPr>
        <w:t>Proposal</w:t>
      </w:r>
    </w:p>
    <w:p w:rsidR="003F3091" w:rsidRDefault="003F3091" w:rsidP="005F2D4B">
      <w:pPr>
        <w:pStyle w:val="bParagraphtext"/>
        <w:numPr>
          <w:ilvl w:val="0"/>
          <w:numId w:val="0"/>
        </w:numPr>
        <w:ind w:left="426" w:hanging="426"/>
        <w:contextualSpacing/>
      </w:pPr>
    </w:p>
    <w:p w:rsidR="002B49B4" w:rsidRPr="00F92053" w:rsidRDefault="003F3091" w:rsidP="002B49B4">
      <w:pPr>
        <w:pStyle w:val="ListParagraph"/>
        <w:ind w:left="360" w:hanging="360"/>
        <w:contextualSpacing/>
      </w:pPr>
      <w:r w:rsidRPr="00AB41A0">
        <w:t xml:space="preserve">To implement a pay &amp; display scheme in </w:t>
      </w:r>
      <w:r w:rsidR="006C2A25" w:rsidRPr="00AB41A0">
        <w:t xml:space="preserve">Marsh </w:t>
      </w:r>
      <w:r w:rsidRPr="00AB41A0">
        <w:t>Road</w:t>
      </w:r>
      <w:r w:rsidR="002B49B4">
        <w:t xml:space="preserve">, with the </w:t>
      </w:r>
      <w:r w:rsidR="005A548F" w:rsidRPr="00AB41A0">
        <w:t xml:space="preserve">proposed </w:t>
      </w:r>
      <w:r w:rsidR="002D0288">
        <w:t>tariff shown below and</w:t>
      </w:r>
      <w:proofErr w:type="gramStart"/>
      <w:r w:rsidR="002D0288">
        <w:t xml:space="preserve">, </w:t>
      </w:r>
      <w:r w:rsidR="002B49B4">
        <w:t xml:space="preserve"> for</w:t>
      </w:r>
      <w:proofErr w:type="gramEnd"/>
      <w:r w:rsidR="002B49B4">
        <w:t xml:space="preserve"> comparison purposes</w:t>
      </w:r>
      <w:r w:rsidR="002D0288">
        <w:t xml:space="preserve">, </w:t>
      </w:r>
      <w:r w:rsidR="002B49B4">
        <w:t xml:space="preserve"> the </w:t>
      </w:r>
      <w:r w:rsidR="002B49B4" w:rsidRPr="00F92053">
        <w:t>tariffs operating elsewhere within the city</w:t>
      </w:r>
      <w:r w:rsidR="002B49B4">
        <w:t xml:space="preserve"> are shown below that.</w:t>
      </w:r>
    </w:p>
    <w:p w:rsidR="002B49B4" w:rsidRDefault="002B49B4" w:rsidP="002B49B4">
      <w:pPr>
        <w:pStyle w:val="bParagraphtext"/>
        <w:numPr>
          <w:ilvl w:val="0"/>
          <w:numId w:val="0"/>
        </w:numPr>
        <w:ind w:left="426"/>
        <w:contextualSpacing/>
      </w:pPr>
    </w:p>
    <w:p w:rsidR="00A6455B" w:rsidRDefault="00A6455B" w:rsidP="002B49B4">
      <w:pPr>
        <w:pStyle w:val="bParagraphtext"/>
        <w:numPr>
          <w:ilvl w:val="0"/>
          <w:numId w:val="0"/>
        </w:numPr>
        <w:ind w:left="426"/>
        <w:contextualSpacing/>
      </w:pPr>
    </w:p>
    <w:p w:rsidR="00A6455B" w:rsidRDefault="00A6455B" w:rsidP="002B49B4">
      <w:pPr>
        <w:pStyle w:val="bParagraphtext"/>
        <w:numPr>
          <w:ilvl w:val="0"/>
          <w:numId w:val="0"/>
        </w:numPr>
        <w:ind w:left="426"/>
        <w:contextualSpacing/>
      </w:pPr>
    </w:p>
    <w:p w:rsidR="00A6455B" w:rsidRDefault="00A6455B" w:rsidP="002B49B4">
      <w:pPr>
        <w:pStyle w:val="bParagraphtext"/>
        <w:numPr>
          <w:ilvl w:val="0"/>
          <w:numId w:val="0"/>
        </w:numPr>
        <w:ind w:left="426"/>
        <w:contextualSpacing/>
      </w:pPr>
    </w:p>
    <w:tbl>
      <w:tblPr>
        <w:tblW w:w="8804" w:type="dxa"/>
        <w:tblInd w:w="93" w:type="dxa"/>
        <w:tblLook w:val="04A0" w:firstRow="1" w:lastRow="0" w:firstColumn="1" w:lastColumn="0" w:noHBand="0" w:noVBand="1"/>
      </w:tblPr>
      <w:tblGrid>
        <w:gridCol w:w="4551"/>
        <w:gridCol w:w="4253"/>
      </w:tblGrid>
      <w:tr w:rsidR="002B49B4" w:rsidRPr="002B49B4" w:rsidTr="000748EA">
        <w:trPr>
          <w:trHeight w:val="300"/>
        </w:trPr>
        <w:tc>
          <w:tcPr>
            <w:tcW w:w="8804" w:type="dxa"/>
            <w:gridSpan w:val="2"/>
            <w:tcBorders>
              <w:top w:val="nil"/>
              <w:left w:val="nil"/>
              <w:bottom w:val="nil"/>
              <w:right w:val="nil"/>
            </w:tcBorders>
            <w:shd w:val="clear" w:color="auto" w:fill="auto"/>
            <w:noWrap/>
            <w:vAlign w:val="bottom"/>
            <w:hideMark/>
          </w:tcPr>
          <w:p w:rsidR="002B49B4" w:rsidRPr="002B49B4" w:rsidRDefault="002B49B4" w:rsidP="002B49B4">
            <w:pPr>
              <w:spacing w:after="0"/>
              <w:jc w:val="center"/>
              <w:rPr>
                <w:rFonts w:cs="Arial"/>
                <w:b/>
              </w:rPr>
            </w:pPr>
            <w:r>
              <w:rPr>
                <w:rFonts w:cs="Arial"/>
                <w:b/>
              </w:rPr>
              <w:lastRenderedPageBreak/>
              <w:t>Marsh Road pr</w:t>
            </w:r>
            <w:r w:rsidRPr="002B49B4">
              <w:rPr>
                <w:rFonts w:cs="Arial"/>
                <w:b/>
              </w:rPr>
              <w:t>op</w:t>
            </w:r>
            <w:r>
              <w:rPr>
                <w:rFonts w:cs="Arial"/>
                <w:b/>
              </w:rPr>
              <w:t>o</w:t>
            </w:r>
            <w:r w:rsidRPr="002B49B4">
              <w:rPr>
                <w:rFonts w:cs="Arial"/>
                <w:b/>
              </w:rPr>
              <w:t>sed tariff</w:t>
            </w:r>
          </w:p>
        </w:tc>
      </w:tr>
      <w:tr w:rsidR="002B49B4" w:rsidRPr="002B49B4" w:rsidTr="000748EA">
        <w:trPr>
          <w:trHeight w:val="300"/>
        </w:trPr>
        <w:tc>
          <w:tcPr>
            <w:tcW w:w="8804" w:type="dxa"/>
            <w:gridSpan w:val="2"/>
            <w:tcBorders>
              <w:top w:val="nil"/>
              <w:left w:val="nil"/>
              <w:bottom w:val="nil"/>
              <w:right w:val="nil"/>
            </w:tcBorders>
            <w:shd w:val="clear" w:color="auto" w:fill="auto"/>
            <w:noWrap/>
            <w:vAlign w:val="bottom"/>
            <w:hideMark/>
          </w:tcPr>
          <w:p w:rsidR="002B49B4" w:rsidRPr="002B49B4" w:rsidRDefault="002B49B4" w:rsidP="002B49B4">
            <w:pPr>
              <w:spacing w:after="0"/>
              <w:jc w:val="center"/>
              <w:rPr>
                <w:rFonts w:cs="Arial"/>
              </w:rPr>
            </w:pPr>
          </w:p>
        </w:tc>
      </w:tr>
      <w:tr w:rsidR="002B49B4" w:rsidRPr="002B49B4" w:rsidTr="000748EA">
        <w:trPr>
          <w:trHeight w:val="300"/>
        </w:trPr>
        <w:tc>
          <w:tcPr>
            <w:tcW w:w="4551" w:type="dxa"/>
            <w:tcBorders>
              <w:top w:val="nil"/>
              <w:left w:val="nil"/>
              <w:bottom w:val="nil"/>
              <w:right w:val="nil"/>
            </w:tcBorders>
            <w:shd w:val="clear" w:color="auto" w:fill="auto"/>
            <w:noWrap/>
            <w:vAlign w:val="bottom"/>
            <w:hideMark/>
          </w:tcPr>
          <w:p w:rsidR="002B49B4" w:rsidRPr="002B49B4" w:rsidRDefault="002B49B4" w:rsidP="002B49B4">
            <w:pPr>
              <w:spacing w:after="0"/>
              <w:rPr>
                <w:rFonts w:cs="Arial"/>
              </w:rPr>
            </w:pPr>
            <w:r w:rsidRPr="002B49B4">
              <w:rPr>
                <w:rFonts w:cs="Arial"/>
              </w:rPr>
              <w:t>Tariff operating time 08:00-18:00</w:t>
            </w:r>
          </w:p>
        </w:tc>
        <w:tc>
          <w:tcPr>
            <w:tcW w:w="4253" w:type="dxa"/>
            <w:tcBorders>
              <w:top w:val="nil"/>
              <w:left w:val="nil"/>
              <w:bottom w:val="nil"/>
              <w:right w:val="nil"/>
            </w:tcBorders>
            <w:shd w:val="clear" w:color="auto" w:fill="auto"/>
            <w:noWrap/>
            <w:vAlign w:val="bottom"/>
            <w:hideMark/>
          </w:tcPr>
          <w:p w:rsidR="002B49B4" w:rsidRPr="002B49B4" w:rsidRDefault="002B49B4" w:rsidP="002B49B4">
            <w:pPr>
              <w:spacing w:after="0"/>
              <w:jc w:val="center"/>
              <w:rPr>
                <w:rFonts w:cs="Arial"/>
              </w:rPr>
            </w:pPr>
          </w:p>
        </w:tc>
      </w:tr>
      <w:tr w:rsidR="002B49B4" w:rsidRPr="002B49B4" w:rsidTr="000748EA">
        <w:trPr>
          <w:trHeight w:val="300"/>
        </w:trPr>
        <w:tc>
          <w:tcPr>
            <w:tcW w:w="4551" w:type="dxa"/>
            <w:tcBorders>
              <w:top w:val="nil"/>
              <w:left w:val="nil"/>
              <w:bottom w:val="nil"/>
              <w:right w:val="nil"/>
            </w:tcBorders>
            <w:shd w:val="clear" w:color="auto" w:fill="auto"/>
            <w:noWrap/>
            <w:vAlign w:val="bottom"/>
            <w:hideMark/>
          </w:tcPr>
          <w:p w:rsidR="002B49B4" w:rsidRPr="002B49B4" w:rsidRDefault="002B49B4" w:rsidP="002B49B4">
            <w:pPr>
              <w:spacing w:after="0"/>
              <w:rPr>
                <w:rFonts w:ascii="Calibri" w:hAnsi="Calibri"/>
              </w:rPr>
            </w:pPr>
          </w:p>
        </w:tc>
        <w:tc>
          <w:tcPr>
            <w:tcW w:w="4253" w:type="dxa"/>
            <w:tcBorders>
              <w:top w:val="nil"/>
              <w:left w:val="nil"/>
              <w:bottom w:val="nil"/>
              <w:right w:val="nil"/>
            </w:tcBorders>
            <w:shd w:val="clear" w:color="auto" w:fill="auto"/>
            <w:noWrap/>
            <w:vAlign w:val="bottom"/>
            <w:hideMark/>
          </w:tcPr>
          <w:p w:rsidR="002B49B4" w:rsidRPr="002B49B4" w:rsidRDefault="002B49B4" w:rsidP="002B49B4">
            <w:pPr>
              <w:spacing w:after="0"/>
              <w:jc w:val="center"/>
              <w:rPr>
                <w:rFonts w:cs="Arial"/>
              </w:rPr>
            </w:pPr>
          </w:p>
        </w:tc>
      </w:tr>
      <w:tr w:rsidR="002B49B4" w:rsidRPr="002B49B4" w:rsidTr="000748EA">
        <w:trPr>
          <w:trHeight w:val="300"/>
        </w:trPr>
        <w:tc>
          <w:tcPr>
            <w:tcW w:w="4551" w:type="dxa"/>
            <w:tcBorders>
              <w:top w:val="nil"/>
              <w:left w:val="nil"/>
              <w:bottom w:val="nil"/>
              <w:right w:val="nil"/>
            </w:tcBorders>
            <w:shd w:val="clear" w:color="auto" w:fill="auto"/>
            <w:noWrap/>
            <w:vAlign w:val="center"/>
            <w:hideMark/>
          </w:tcPr>
          <w:p w:rsidR="002B49B4" w:rsidRPr="002B49B4" w:rsidRDefault="002B49B4" w:rsidP="002B49B4">
            <w:pPr>
              <w:spacing w:after="0"/>
              <w:rPr>
                <w:rFonts w:cs="Arial"/>
              </w:rPr>
            </w:pPr>
            <w:r w:rsidRPr="002B49B4">
              <w:rPr>
                <w:rFonts w:cs="Arial"/>
              </w:rPr>
              <w:t xml:space="preserve">0-1 hour         </w:t>
            </w:r>
          </w:p>
        </w:tc>
        <w:tc>
          <w:tcPr>
            <w:tcW w:w="4253" w:type="dxa"/>
            <w:tcBorders>
              <w:top w:val="nil"/>
              <w:left w:val="nil"/>
              <w:bottom w:val="nil"/>
              <w:right w:val="nil"/>
            </w:tcBorders>
            <w:shd w:val="clear" w:color="auto" w:fill="auto"/>
            <w:noWrap/>
            <w:vAlign w:val="bottom"/>
            <w:hideMark/>
          </w:tcPr>
          <w:p w:rsidR="002B49B4" w:rsidRPr="002B49B4" w:rsidRDefault="002B49B4" w:rsidP="002B49B4">
            <w:pPr>
              <w:spacing w:after="0"/>
              <w:jc w:val="center"/>
              <w:rPr>
                <w:rFonts w:cs="Arial"/>
              </w:rPr>
            </w:pPr>
            <w:r w:rsidRPr="002B49B4">
              <w:rPr>
                <w:rFonts w:cs="Arial"/>
              </w:rPr>
              <w:t>£0.80</w:t>
            </w:r>
          </w:p>
        </w:tc>
      </w:tr>
      <w:tr w:rsidR="002B49B4" w:rsidRPr="002B49B4" w:rsidTr="000748EA">
        <w:trPr>
          <w:trHeight w:val="300"/>
        </w:trPr>
        <w:tc>
          <w:tcPr>
            <w:tcW w:w="4551" w:type="dxa"/>
            <w:tcBorders>
              <w:top w:val="nil"/>
              <w:left w:val="nil"/>
              <w:bottom w:val="nil"/>
              <w:right w:val="nil"/>
            </w:tcBorders>
            <w:shd w:val="clear" w:color="auto" w:fill="auto"/>
            <w:noWrap/>
            <w:vAlign w:val="center"/>
            <w:hideMark/>
          </w:tcPr>
          <w:p w:rsidR="002B49B4" w:rsidRPr="002B49B4" w:rsidRDefault="002B49B4" w:rsidP="002B49B4">
            <w:pPr>
              <w:spacing w:after="0"/>
              <w:rPr>
                <w:rFonts w:cs="Arial"/>
              </w:rPr>
            </w:pPr>
            <w:r w:rsidRPr="002B49B4">
              <w:rPr>
                <w:rFonts w:cs="Arial"/>
              </w:rPr>
              <w:t xml:space="preserve">1-3 hours       </w:t>
            </w:r>
          </w:p>
        </w:tc>
        <w:tc>
          <w:tcPr>
            <w:tcW w:w="4253" w:type="dxa"/>
            <w:tcBorders>
              <w:top w:val="nil"/>
              <w:left w:val="nil"/>
              <w:bottom w:val="nil"/>
              <w:right w:val="nil"/>
            </w:tcBorders>
            <w:shd w:val="clear" w:color="auto" w:fill="auto"/>
            <w:noWrap/>
            <w:vAlign w:val="bottom"/>
            <w:hideMark/>
          </w:tcPr>
          <w:p w:rsidR="002B49B4" w:rsidRPr="002B49B4" w:rsidRDefault="002B49B4" w:rsidP="002B49B4">
            <w:pPr>
              <w:spacing w:after="0"/>
              <w:jc w:val="center"/>
              <w:rPr>
                <w:rFonts w:cs="Arial"/>
              </w:rPr>
            </w:pPr>
            <w:r w:rsidRPr="002B49B4">
              <w:rPr>
                <w:rFonts w:cs="Arial"/>
              </w:rPr>
              <w:t>£2.00</w:t>
            </w:r>
          </w:p>
        </w:tc>
      </w:tr>
      <w:tr w:rsidR="002B49B4" w:rsidRPr="002B49B4" w:rsidTr="000748EA">
        <w:trPr>
          <w:trHeight w:val="300"/>
        </w:trPr>
        <w:tc>
          <w:tcPr>
            <w:tcW w:w="4551" w:type="dxa"/>
            <w:tcBorders>
              <w:top w:val="nil"/>
              <w:left w:val="nil"/>
              <w:bottom w:val="nil"/>
              <w:right w:val="nil"/>
            </w:tcBorders>
            <w:shd w:val="clear" w:color="auto" w:fill="auto"/>
            <w:noWrap/>
            <w:vAlign w:val="center"/>
            <w:hideMark/>
          </w:tcPr>
          <w:p w:rsidR="002B49B4" w:rsidRPr="002B49B4" w:rsidRDefault="002B49B4" w:rsidP="002B49B4">
            <w:pPr>
              <w:spacing w:after="0"/>
              <w:rPr>
                <w:rFonts w:cs="Arial"/>
              </w:rPr>
            </w:pPr>
            <w:r w:rsidRPr="002B49B4">
              <w:rPr>
                <w:rFonts w:cs="Arial"/>
              </w:rPr>
              <w:t xml:space="preserve">3-5 hours       </w:t>
            </w:r>
          </w:p>
        </w:tc>
        <w:tc>
          <w:tcPr>
            <w:tcW w:w="4253" w:type="dxa"/>
            <w:tcBorders>
              <w:top w:val="nil"/>
              <w:left w:val="nil"/>
              <w:bottom w:val="nil"/>
              <w:right w:val="nil"/>
            </w:tcBorders>
            <w:shd w:val="clear" w:color="auto" w:fill="auto"/>
            <w:noWrap/>
            <w:vAlign w:val="bottom"/>
            <w:hideMark/>
          </w:tcPr>
          <w:p w:rsidR="002B49B4" w:rsidRPr="002B49B4" w:rsidRDefault="002B49B4" w:rsidP="002B49B4">
            <w:pPr>
              <w:spacing w:after="0"/>
              <w:jc w:val="center"/>
              <w:rPr>
                <w:rFonts w:cs="Arial"/>
              </w:rPr>
            </w:pPr>
            <w:r w:rsidRPr="002B49B4">
              <w:rPr>
                <w:rFonts w:cs="Arial"/>
              </w:rPr>
              <w:t>£4.00</w:t>
            </w:r>
          </w:p>
        </w:tc>
      </w:tr>
      <w:tr w:rsidR="002B49B4" w:rsidRPr="002B49B4" w:rsidTr="000748EA">
        <w:trPr>
          <w:trHeight w:val="315"/>
        </w:trPr>
        <w:tc>
          <w:tcPr>
            <w:tcW w:w="4551" w:type="dxa"/>
            <w:tcBorders>
              <w:top w:val="nil"/>
              <w:left w:val="nil"/>
              <w:bottom w:val="nil"/>
              <w:right w:val="nil"/>
            </w:tcBorders>
            <w:shd w:val="clear" w:color="auto" w:fill="auto"/>
            <w:noWrap/>
            <w:vAlign w:val="bottom"/>
            <w:hideMark/>
          </w:tcPr>
          <w:p w:rsidR="002B49B4" w:rsidRPr="002B49B4" w:rsidRDefault="002B49B4" w:rsidP="002B49B4">
            <w:pPr>
              <w:spacing w:after="0"/>
              <w:rPr>
                <w:rFonts w:cs="Arial"/>
              </w:rPr>
            </w:pPr>
            <w:r w:rsidRPr="002B49B4">
              <w:rPr>
                <w:rFonts w:cs="Arial"/>
              </w:rPr>
              <w:t xml:space="preserve">5-24 hours     </w:t>
            </w:r>
          </w:p>
        </w:tc>
        <w:tc>
          <w:tcPr>
            <w:tcW w:w="4253" w:type="dxa"/>
            <w:tcBorders>
              <w:top w:val="nil"/>
              <w:left w:val="nil"/>
              <w:bottom w:val="nil"/>
              <w:right w:val="nil"/>
            </w:tcBorders>
            <w:shd w:val="clear" w:color="auto" w:fill="auto"/>
            <w:noWrap/>
            <w:vAlign w:val="bottom"/>
            <w:hideMark/>
          </w:tcPr>
          <w:p w:rsidR="002B49B4" w:rsidRPr="002B49B4" w:rsidRDefault="002B49B4" w:rsidP="002B49B4">
            <w:pPr>
              <w:spacing w:after="0"/>
              <w:jc w:val="center"/>
              <w:rPr>
                <w:rFonts w:cs="Arial"/>
              </w:rPr>
            </w:pPr>
            <w:r w:rsidRPr="002B49B4">
              <w:rPr>
                <w:rFonts w:cs="Arial"/>
              </w:rPr>
              <w:t>£15.00</w:t>
            </w:r>
          </w:p>
        </w:tc>
      </w:tr>
    </w:tbl>
    <w:p w:rsidR="002B49B4" w:rsidRPr="00AB41A0" w:rsidRDefault="002B49B4" w:rsidP="002B49B4">
      <w:pPr>
        <w:pStyle w:val="bParagraphtext"/>
        <w:numPr>
          <w:ilvl w:val="0"/>
          <w:numId w:val="0"/>
        </w:numPr>
        <w:ind w:left="426"/>
        <w:contextualSpacing/>
      </w:pPr>
    </w:p>
    <w:p w:rsidR="007B771C" w:rsidRDefault="007B771C" w:rsidP="007B771C">
      <w:pPr>
        <w:pStyle w:val="bParagraphtext"/>
        <w:numPr>
          <w:ilvl w:val="0"/>
          <w:numId w:val="0"/>
        </w:numPr>
        <w:ind w:left="426"/>
        <w:contextualSpacing/>
        <w:rPr>
          <w:i/>
        </w:rPr>
      </w:pPr>
    </w:p>
    <w:tbl>
      <w:tblPr>
        <w:tblW w:w="9386" w:type="dxa"/>
        <w:tblInd w:w="-176" w:type="dxa"/>
        <w:tblLook w:val="04A0" w:firstRow="1" w:lastRow="0" w:firstColumn="1" w:lastColumn="0" w:noHBand="0" w:noVBand="1"/>
      </w:tblPr>
      <w:tblGrid>
        <w:gridCol w:w="2349"/>
        <w:gridCol w:w="1057"/>
        <w:gridCol w:w="1360"/>
        <w:gridCol w:w="1360"/>
        <w:gridCol w:w="1560"/>
        <w:gridCol w:w="1700"/>
      </w:tblGrid>
      <w:tr w:rsidR="002B49B4" w:rsidRPr="002B49B4" w:rsidTr="000748EA">
        <w:trPr>
          <w:trHeight w:val="60"/>
        </w:trPr>
        <w:tc>
          <w:tcPr>
            <w:tcW w:w="2349" w:type="dxa"/>
            <w:tcBorders>
              <w:top w:val="single" w:sz="8" w:space="0" w:color="auto"/>
              <w:left w:val="single" w:sz="8" w:space="0" w:color="auto"/>
              <w:bottom w:val="single" w:sz="8" w:space="0" w:color="auto"/>
              <w:right w:val="nil"/>
            </w:tcBorders>
            <w:shd w:val="clear" w:color="000000" w:fill="CC99FF"/>
            <w:noWrap/>
            <w:vAlign w:val="bottom"/>
            <w:hideMark/>
          </w:tcPr>
          <w:p w:rsidR="002B49B4" w:rsidRPr="002B49B4" w:rsidRDefault="002B49B4" w:rsidP="002B49B4">
            <w:pPr>
              <w:spacing w:after="0"/>
              <w:rPr>
                <w:rFonts w:cs="Arial"/>
                <w:b/>
                <w:bCs/>
                <w:color w:val="auto"/>
              </w:rPr>
            </w:pPr>
            <w:r w:rsidRPr="002B49B4">
              <w:rPr>
                <w:rFonts w:cs="Arial"/>
                <w:b/>
                <w:bCs/>
                <w:color w:val="auto"/>
              </w:rPr>
              <w:t xml:space="preserve">Parks </w:t>
            </w:r>
          </w:p>
        </w:tc>
        <w:tc>
          <w:tcPr>
            <w:tcW w:w="1057" w:type="dxa"/>
            <w:tcBorders>
              <w:top w:val="single" w:sz="8" w:space="0" w:color="auto"/>
              <w:left w:val="single" w:sz="8" w:space="0" w:color="auto"/>
              <w:bottom w:val="single" w:sz="8" w:space="0" w:color="auto"/>
              <w:right w:val="single" w:sz="8" w:space="0" w:color="auto"/>
            </w:tcBorders>
            <w:shd w:val="clear" w:color="000000" w:fill="CC99FF"/>
            <w:noWrap/>
            <w:vAlign w:val="bottom"/>
            <w:hideMark/>
          </w:tcPr>
          <w:p w:rsidR="002B49B4" w:rsidRPr="002B49B4" w:rsidRDefault="002B49B4" w:rsidP="002B49B4">
            <w:pPr>
              <w:spacing w:after="0"/>
              <w:rPr>
                <w:rFonts w:cs="Arial"/>
                <w:b/>
                <w:bCs/>
                <w:color w:val="auto"/>
              </w:rPr>
            </w:pPr>
            <w:r w:rsidRPr="002B49B4">
              <w:rPr>
                <w:rFonts w:cs="Arial"/>
                <w:b/>
                <w:bCs/>
                <w:color w:val="auto"/>
              </w:rPr>
              <w:t>Spaces</w:t>
            </w:r>
          </w:p>
        </w:tc>
        <w:tc>
          <w:tcPr>
            <w:tcW w:w="1360" w:type="dxa"/>
            <w:tcBorders>
              <w:top w:val="single" w:sz="8" w:space="0" w:color="auto"/>
              <w:left w:val="nil"/>
              <w:bottom w:val="single" w:sz="8" w:space="0" w:color="auto"/>
              <w:right w:val="nil"/>
            </w:tcBorders>
            <w:shd w:val="clear" w:color="000000" w:fill="CC99FF"/>
            <w:noWrap/>
            <w:vAlign w:val="bottom"/>
            <w:hideMark/>
          </w:tcPr>
          <w:p w:rsidR="002B49B4" w:rsidRPr="002B49B4" w:rsidRDefault="002B49B4" w:rsidP="002B49B4">
            <w:pPr>
              <w:spacing w:after="0"/>
              <w:jc w:val="center"/>
              <w:rPr>
                <w:rFonts w:cs="Arial"/>
                <w:b/>
                <w:bCs/>
                <w:color w:val="auto"/>
              </w:rPr>
            </w:pPr>
            <w:r w:rsidRPr="002B49B4">
              <w:rPr>
                <w:rFonts w:cs="Arial"/>
                <w:b/>
                <w:bCs/>
                <w:color w:val="auto"/>
              </w:rPr>
              <w:t>0-1 hour</w:t>
            </w:r>
          </w:p>
        </w:tc>
        <w:tc>
          <w:tcPr>
            <w:tcW w:w="1360" w:type="dxa"/>
            <w:tcBorders>
              <w:top w:val="single" w:sz="8" w:space="0" w:color="auto"/>
              <w:left w:val="nil"/>
              <w:bottom w:val="single" w:sz="8" w:space="0" w:color="auto"/>
              <w:right w:val="nil"/>
            </w:tcBorders>
            <w:shd w:val="clear" w:color="000000" w:fill="CC99FF"/>
            <w:noWrap/>
            <w:vAlign w:val="bottom"/>
            <w:hideMark/>
          </w:tcPr>
          <w:p w:rsidR="002B49B4" w:rsidRPr="002B49B4" w:rsidRDefault="002B49B4" w:rsidP="002B49B4">
            <w:pPr>
              <w:spacing w:after="0"/>
              <w:jc w:val="center"/>
              <w:rPr>
                <w:rFonts w:cs="Arial"/>
                <w:b/>
                <w:bCs/>
                <w:color w:val="auto"/>
              </w:rPr>
            </w:pPr>
            <w:r w:rsidRPr="002B49B4">
              <w:rPr>
                <w:rFonts w:cs="Arial"/>
                <w:b/>
                <w:bCs/>
                <w:color w:val="auto"/>
              </w:rPr>
              <w:t>1-3 hours</w:t>
            </w:r>
          </w:p>
        </w:tc>
        <w:tc>
          <w:tcPr>
            <w:tcW w:w="1560" w:type="dxa"/>
            <w:tcBorders>
              <w:top w:val="single" w:sz="8" w:space="0" w:color="auto"/>
              <w:left w:val="nil"/>
              <w:bottom w:val="single" w:sz="8" w:space="0" w:color="auto"/>
              <w:right w:val="nil"/>
            </w:tcBorders>
            <w:shd w:val="clear" w:color="000000" w:fill="CC99FF"/>
            <w:noWrap/>
            <w:vAlign w:val="bottom"/>
            <w:hideMark/>
          </w:tcPr>
          <w:p w:rsidR="002B49B4" w:rsidRPr="002B49B4" w:rsidRDefault="002B49B4" w:rsidP="002B49B4">
            <w:pPr>
              <w:spacing w:after="0"/>
              <w:jc w:val="center"/>
              <w:rPr>
                <w:rFonts w:cs="Arial"/>
                <w:b/>
                <w:bCs/>
                <w:color w:val="auto"/>
              </w:rPr>
            </w:pPr>
            <w:r w:rsidRPr="002B49B4">
              <w:rPr>
                <w:rFonts w:cs="Arial"/>
                <w:b/>
                <w:bCs/>
                <w:color w:val="auto"/>
              </w:rPr>
              <w:t>3-5 hours</w:t>
            </w:r>
          </w:p>
        </w:tc>
        <w:tc>
          <w:tcPr>
            <w:tcW w:w="1700" w:type="dxa"/>
            <w:tcBorders>
              <w:top w:val="single" w:sz="8" w:space="0" w:color="auto"/>
              <w:left w:val="nil"/>
              <w:bottom w:val="single" w:sz="8" w:space="0" w:color="auto"/>
              <w:right w:val="single" w:sz="8" w:space="0" w:color="auto"/>
            </w:tcBorders>
            <w:shd w:val="clear" w:color="000000" w:fill="CC99FF"/>
            <w:noWrap/>
            <w:vAlign w:val="bottom"/>
            <w:hideMark/>
          </w:tcPr>
          <w:p w:rsidR="002B49B4" w:rsidRPr="002B49B4" w:rsidRDefault="002B49B4" w:rsidP="002B49B4">
            <w:pPr>
              <w:spacing w:after="0"/>
              <w:jc w:val="center"/>
              <w:rPr>
                <w:rFonts w:cs="Arial"/>
                <w:b/>
                <w:bCs/>
                <w:color w:val="auto"/>
              </w:rPr>
            </w:pPr>
            <w:r w:rsidRPr="002B49B4">
              <w:rPr>
                <w:rFonts w:cs="Arial"/>
                <w:b/>
                <w:bCs/>
                <w:color w:val="auto"/>
              </w:rPr>
              <w:t xml:space="preserve">5 - 24 hours </w:t>
            </w:r>
          </w:p>
        </w:tc>
      </w:tr>
      <w:tr w:rsidR="002B49B4" w:rsidRPr="002B49B4" w:rsidTr="000748EA">
        <w:trPr>
          <w:trHeight w:val="315"/>
        </w:trPr>
        <w:tc>
          <w:tcPr>
            <w:tcW w:w="2349" w:type="dxa"/>
            <w:tcBorders>
              <w:top w:val="nil"/>
              <w:left w:val="single" w:sz="8" w:space="0" w:color="auto"/>
              <w:bottom w:val="single" w:sz="4" w:space="0" w:color="auto"/>
              <w:right w:val="single" w:sz="8" w:space="0" w:color="auto"/>
            </w:tcBorders>
            <w:shd w:val="clear" w:color="auto" w:fill="auto"/>
            <w:noWrap/>
            <w:vAlign w:val="bottom"/>
            <w:hideMark/>
          </w:tcPr>
          <w:p w:rsidR="002B49B4" w:rsidRPr="002B49B4" w:rsidRDefault="002B49B4" w:rsidP="002B49B4">
            <w:pPr>
              <w:spacing w:after="0"/>
              <w:rPr>
                <w:rFonts w:cs="Arial"/>
                <w:color w:val="auto"/>
              </w:rPr>
            </w:pPr>
            <w:proofErr w:type="spellStart"/>
            <w:r w:rsidRPr="002B49B4">
              <w:rPr>
                <w:rFonts w:cs="Arial"/>
                <w:color w:val="auto"/>
              </w:rPr>
              <w:t>Hinksey</w:t>
            </w:r>
            <w:proofErr w:type="spellEnd"/>
            <w:r w:rsidRPr="002B49B4">
              <w:rPr>
                <w:rFonts w:cs="Arial"/>
                <w:color w:val="auto"/>
              </w:rPr>
              <w:t xml:space="preserve"> Park</w:t>
            </w:r>
          </w:p>
        </w:tc>
        <w:tc>
          <w:tcPr>
            <w:tcW w:w="1057" w:type="dxa"/>
            <w:tcBorders>
              <w:top w:val="nil"/>
              <w:left w:val="nil"/>
              <w:bottom w:val="single" w:sz="4" w:space="0" w:color="auto"/>
              <w:right w:val="single" w:sz="8" w:space="0" w:color="auto"/>
            </w:tcBorders>
            <w:shd w:val="clear" w:color="auto" w:fill="auto"/>
            <w:noWrap/>
            <w:vAlign w:val="bottom"/>
            <w:hideMark/>
          </w:tcPr>
          <w:p w:rsidR="002B49B4" w:rsidRPr="002B49B4" w:rsidRDefault="002B49B4" w:rsidP="002B49B4">
            <w:pPr>
              <w:spacing w:after="0"/>
              <w:jc w:val="right"/>
              <w:rPr>
                <w:rFonts w:cs="Arial"/>
                <w:color w:val="auto"/>
              </w:rPr>
            </w:pPr>
            <w:r w:rsidRPr="002B49B4">
              <w:rPr>
                <w:rFonts w:cs="Arial"/>
                <w:color w:val="auto"/>
              </w:rPr>
              <w:t>42</w:t>
            </w:r>
          </w:p>
        </w:tc>
        <w:tc>
          <w:tcPr>
            <w:tcW w:w="1360" w:type="dxa"/>
            <w:tcBorders>
              <w:top w:val="nil"/>
              <w:left w:val="nil"/>
              <w:bottom w:val="single" w:sz="4" w:space="0" w:color="auto"/>
              <w:right w:val="single" w:sz="8"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£0.80</w:t>
            </w:r>
          </w:p>
        </w:tc>
        <w:tc>
          <w:tcPr>
            <w:tcW w:w="1360" w:type="dxa"/>
            <w:tcBorders>
              <w:top w:val="nil"/>
              <w:left w:val="nil"/>
              <w:bottom w:val="single" w:sz="4" w:space="0" w:color="auto"/>
              <w:right w:val="single" w:sz="4"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£2.00</w:t>
            </w:r>
          </w:p>
        </w:tc>
        <w:tc>
          <w:tcPr>
            <w:tcW w:w="1560" w:type="dxa"/>
            <w:tcBorders>
              <w:top w:val="nil"/>
              <w:left w:val="nil"/>
              <w:bottom w:val="single" w:sz="4" w:space="0" w:color="auto"/>
              <w:right w:val="single" w:sz="4"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£4.00</w:t>
            </w:r>
          </w:p>
        </w:tc>
        <w:tc>
          <w:tcPr>
            <w:tcW w:w="1700" w:type="dxa"/>
            <w:tcBorders>
              <w:top w:val="nil"/>
              <w:left w:val="nil"/>
              <w:bottom w:val="single" w:sz="4" w:space="0" w:color="auto"/>
              <w:right w:val="single" w:sz="8"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£15.00</w:t>
            </w:r>
          </w:p>
        </w:tc>
      </w:tr>
      <w:tr w:rsidR="002B49B4" w:rsidRPr="002B49B4" w:rsidTr="000748EA">
        <w:trPr>
          <w:trHeight w:val="315"/>
        </w:trPr>
        <w:tc>
          <w:tcPr>
            <w:tcW w:w="2349" w:type="dxa"/>
            <w:tcBorders>
              <w:top w:val="nil"/>
              <w:left w:val="single" w:sz="8" w:space="0" w:color="auto"/>
              <w:bottom w:val="single" w:sz="4" w:space="0" w:color="auto"/>
              <w:right w:val="single" w:sz="8" w:space="0" w:color="auto"/>
            </w:tcBorders>
            <w:shd w:val="clear" w:color="auto" w:fill="auto"/>
            <w:noWrap/>
            <w:vAlign w:val="bottom"/>
            <w:hideMark/>
          </w:tcPr>
          <w:p w:rsidR="002B49B4" w:rsidRPr="002B49B4" w:rsidRDefault="002B49B4" w:rsidP="002B49B4">
            <w:pPr>
              <w:spacing w:after="0"/>
              <w:rPr>
                <w:rFonts w:cs="Arial"/>
                <w:color w:val="auto"/>
              </w:rPr>
            </w:pPr>
            <w:r w:rsidRPr="002B49B4">
              <w:rPr>
                <w:rFonts w:cs="Arial"/>
                <w:color w:val="auto"/>
              </w:rPr>
              <w:t xml:space="preserve">Walton Well Road </w:t>
            </w:r>
          </w:p>
        </w:tc>
        <w:tc>
          <w:tcPr>
            <w:tcW w:w="1057" w:type="dxa"/>
            <w:tcBorders>
              <w:top w:val="nil"/>
              <w:left w:val="nil"/>
              <w:bottom w:val="single" w:sz="4" w:space="0" w:color="auto"/>
              <w:right w:val="single" w:sz="8" w:space="0" w:color="auto"/>
            </w:tcBorders>
            <w:shd w:val="clear" w:color="auto" w:fill="auto"/>
            <w:noWrap/>
            <w:vAlign w:val="bottom"/>
            <w:hideMark/>
          </w:tcPr>
          <w:p w:rsidR="002B49B4" w:rsidRPr="002B49B4" w:rsidRDefault="002B49B4" w:rsidP="002B49B4">
            <w:pPr>
              <w:spacing w:after="0"/>
              <w:jc w:val="right"/>
              <w:rPr>
                <w:rFonts w:cs="Arial"/>
                <w:color w:val="auto"/>
              </w:rPr>
            </w:pPr>
            <w:r w:rsidRPr="002B49B4">
              <w:rPr>
                <w:rFonts w:cs="Arial"/>
                <w:color w:val="auto"/>
              </w:rPr>
              <w:t>28</w:t>
            </w:r>
          </w:p>
        </w:tc>
        <w:tc>
          <w:tcPr>
            <w:tcW w:w="1360" w:type="dxa"/>
            <w:tcBorders>
              <w:top w:val="nil"/>
              <w:left w:val="nil"/>
              <w:bottom w:val="single" w:sz="4" w:space="0" w:color="auto"/>
              <w:right w:val="single" w:sz="8"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£0.80</w:t>
            </w:r>
          </w:p>
        </w:tc>
        <w:tc>
          <w:tcPr>
            <w:tcW w:w="1360" w:type="dxa"/>
            <w:tcBorders>
              <w:top w:val="nil"/>
              <w:left w:val="nil"/>
              <w:bottom w:val="single" w:sz="4" w:space="0" w:color="auto"/>
              <w:right w:val="single" w:sz="4"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£2.00</w:t>
            </w:r>
          </w:p>
        </w:tc>
        <w:tc>
          <w:tcPr>
            <w:tcW w:w="1560" w:type="dxa"/>
            <w:tcBorders>
              <w:top w:val="nil"/>
              <w:left w:val="nil"/>
              <w:bottom w:val="single" w:sz="4" w:space="0" w:color="auto"/>
              <w:right w:val="single" w:sz="4"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£4.00</w:t>
            </w:r>
          </w:p>
        </w:tc>
        <w:tc>
          <w:tcPr>
            <w:tcW w:w="1700" w:type="dxa"/>
            <w:tcBorders>
              <w:top w:val="nil"/>
              <w:left w:val="nil"/>
              <w:bottom w:val="single" w:sz="4" w:space="0" w:color="auto"/>
              <w:right w:val="single" w:sz="8"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£15.00</w:t>
            </w:r>
          </w:p>
        </w:tc>
      </w:tr>
      <w:tr w:rsidR="002B49B4" w:rsidRPr="002B49B4" w:rsidTr="000748EA">
        <w:trPr>
          <w:trHeight w:val="330"/>
        </w:trPr>
        <w:tc>
          <w:tcPr>
            <w:tcW w:w="2349" w:type="dxa"/>
            <w:tcBorders>
              <w:top w:val="nil"/>
              <w:left w:val="single" w:sz="8" w:space="0" w:color="auto"/>
              <w:bottom w:val="single" w:sz="8" w:space="0" w:color="auto"/>
              <w:right w:val="single" w:sz="8" w:space="0" w:color="auto"/>
            </w:tcBorders>
            <w:shd w:val="clear" w:color="auto" w:fill="auto"/>
            <w:noWrap/>
            <w:vAlign w:val="bottom"/>
            <w:hideMark/>
          </w:tcPr>
          <w:p w:rsidR="002B49B4" w:rsidRPr="002B49B4" w:rsidRDefault="002B49B4" w:rsidP="002B49B4">
            <w:pPr>
              <w:spacing w:after="0"/>
              <w:rPr>
                <w:rFonts w:cs="Arial"/>
                <w:color w:val="auto"/>
              </w:rPr>
            </w:pPr>
            <w:r w:rsidRPr="002B49B4">
              <w:rPr>
                <w:rFonts w:cs="Arial"/>
                <w:color w:val="auto"/>
              </w:rPr>
              <w:t xml:space="preserve">Alexandra Court </w:t>
            </w:r>
          </w:p>
        </w:tc>
        <w:tc>
          <w:tcPr>
            <w:tcW w:w="1057" w:type="dxa"/>
            <w:tcBorders>
              <w:top w:val="nil"/>
              <w:left w:val="nil"/>
              <w:bottom w:val="single" w:sz="8" w:space="0" w:color="auto"/>
              <w:right w:val="single" w:sz="8" w:space="0" w:color="auto"/>
            </w:tcBorders>
            <w:shd w:val="clear" w:color="auto" w:fill="auto"/>
            <w:noWrap/>
            <w:vAlign w:val="bottom"/>
            <w:hideMark/>
          </w:tcPr>
          <w:p w:rsidR="002B49B4" w:rsidRPr="002B49B4" w:rsidRDefault="002B49B4" w:rsidP="002B49B4">
            <w:pPr>
              <w:spacing w:after="0"/>
              <w:jc w:val="right"/>
              <w:rPr>
                <w:rFonts w:cs="Arial"/>
                <w:color w:val="auto"/>
              </w:rPr>
            </w:pPr>
            <w:r w:rsidRPr="002B49B4">
              <w:rPr>
                <w:rFonts w:cs="Arial"/>
                <w:color w:val="auto"/>
              </w:rPr>
              <w:t>26</w:t>
            </w:r>
          </w:p>
        </w:tc>
        <w:tc>
          <w:tcPr>
            <w:tcW w:w="1360" w:type="dxa"/>
            <w:tcBorders>
              <w:top w:val="nil"/>
              <w:left w:val="nil"/>
              <w:bottom w:val="single" w:sz="8" w:space="0" w:color="auto"/>
              <w:right w:val="single" w:sz="8"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£1.00</w:t>
            </w:r>
          </w:p>
        </w:tc>
        <w:tc>
          <w:tcPr>
            <w:tcW w:w="1360" w:type="dxa"/>
            <w:tcBorders>
              <w:top w:val="nil"/>
              <w:left w:val="nil"/>
              <w:bottom w:val="single" w:sz="8" w:space="0" w:color="auto"/>
              <w:right w:val="single" w:sz="4"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£2.00</w:t>
            </w:r>
          </w:p>
        </w:tc>
        <w:tc>
          <w:tcPr>
            <w:tcW w:w="1560" w:type="dxa"/>
            <w:tcBorders>
              <w:top w:val="nil"/>
              <w:left w:val="nil"/>
              <w:bottom w:val="single" w:sz="8" w:space="0" w:color="auto"/>
              <w:right w:val="single" w:sz="4"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£4.00</w:t>
            </w:r>
          </w:p>
        </w:tc>
        <w:tc>
          <w:tcPr>
            <w:tcW w:w="1700" w:type="dxa"/>
            <w:tcBorders>
              <w:top w:val="nil"/>
              <w:left w:val="nil"/>
              <w:bottom w:val="single" w:sz="8" w:space="0" w:color="auto"/>
              <w:right w:val="single" w:sz="8"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£15.00</w:t>
            </w:r>
          </w:p>
        </w:tc>
      </w:tr>
      <w:tr w:rsidR="002B49B4" w:rsidRPr="002B49B4" w:rsidTr="000748EA">
        <w:trPr>
          <w:trHeight w:val="315"/>
        </w:trPr>
        <w:tc>
          <w:tcPr>
            <w:tcW w:w="2349" w:type="dxa"/>
            <w:tcBorders>
              <w:top w:val="nil"/>
              <w:left w:val="single" w:sz="8" w:space="0" w:color="auto"/>
              <w:bottom w:val="single" w:sz="4" w:space="0" w:color="auto"/>
              <w:right w:val="single" w:sz="8" w:space="0" w:color="auto"/>
            </w:tcBorders>
            <w:shd w:val="clear" w:color="auto" w:fill="auto"/>
            <w:noWrap/>
            <w:vAlign w:val="bottom"/>
            <w:hideMark/>
          </w:tcPr>
          <w:p w:rsidR="002B49B4" w:rsidRPr="002B49B4" w:rsidRDefault="002B49B4" w:rsidP="002B49B4">
            <w:pPr>
              <w:spacing w:after="0"/>
              <w:rPr>
                <w:rFonts w:cs="Arial"/>
                <w:color w:val="auto"/>
              </w:rPr>
            </w:pPr>
            <w:proofErr w:type="spellStart"/>
            <w:r w:rsidRPr="002B49B4">
              <w:rPr>
                <w:rFonts w:cs="Arial"/>
                <w:color w:val="auto"/>
              </w:rPr>
              <w:t>Cutteslowe</w:t>
            </w:r>
            <w:proofErr w:type="spellEnd"/>
          </w:p>
        </w:tc>
        <w:tc>
          <w:tcPr>
            <w:tcW w:w="1057" w:type="dxa"/>
            <w:tcBorders>
              <w:top w:val="nil"/>
              <w:left w:val="nil"/>
              <w:bottom w:val="single" w:sz="4" w:space="0" w:color="auto"/>
              <w:right w:val="nil"/>
            </w:tcBorders>
            <w:shd w:val="clear" w:color="auto" w:fill="auto"/>
            <w:noWrap/>
            <w:vAlign w:val="bottom"/>
            <w:hideMark/>
          </w:tcPr>
          <w:p w:rsidR="002B49B4" w:rsidRPr="002B49B4" w:rsidRDefault="002B49B4" w:rsidP="002B49B4">
            <w:pPr>
              <w:spacing w:after="0"/>
              <w:jc w:val="right"/>
              <w:rPr>
                <w:rFonts w:cs="Arial"/>
                <w:color w:val="auto"/>
              </w:rPr>
            </w:pPr>
            <w:r w:rsidRPr="002B49B4">
              <w:rPr>
                <w:rFonts w:cs="Arial"/>
                <w:color w:val="auto"/>
              </w:rPr>
              <w:t>45</w:t>
            </w:r>
          </w:p>
        </w:tc>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£0.80</w:t>
            </w:r>
          </w:p>
        </w:tc>
        <w:tc>
          <w:tcPr>
            <w:tcW w:w="1360" w:type="dxa"/>
            <w:tcBorders>
              <w:top w:val="nil"/>
              <w:left w:val="nil"/>
              <w:bottom w:val="single" w:sz="4" w:space="0" w:color="auto"/>
              <w:right w:val="single" w:sz="4"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£2.00</w:t>
            </w:r>
          </w:p>
        </w:tc>
        <w:tc>
          <w:tcPr>
            <w:tcW w:w="1560" w:type="dxa"/>
            <w:tcBorders>
              <w:top w:val="nil"/>
              <w:left w:val="nil"/>
              <w:bottom w:val="single" w:sz="4" w:space="0" w:color="auto"/>
              <w:right w:val="nil"/>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£3.00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Free</w:t>
            </w:r>
          </w:p>
        </w:tc>
      </w:tr>
      <w:tr w:rsidR="002B49B4" w:rsidRPr="002B49B4" w:rsidTr="000748EA">
        <w:trPr>
          <w:trHeight w:val="330"/>
        </w:trPr>
        <w:tc>
          <w:tcPr>
            <w:tcW w:w="2349" w:type="dxa"/>
            <w:tcBorders>
              <w:top w:val="nil"/>
              <w:left w:val="single" w:sz="8" w:space="0" w:color="auto"/>
              <w:bottom w:val="single" w:sz="8" w:space="0" w:color="auto"/>
              <w:right w:val="single" w:sz="8" w:space="0" w:color="auto"/>
            </w:tcBorders>
            <w:shd w:val="clear" w:color="auto" w:fill="auto"/>
            <w:noWrap/>
            <w:vAlign w:val="bottom"/>
            <w:hideMark/>
          </w:tcPr>
          <w:p w:rsidR="002B49B4" w:rsidRPr="002B49B4" w:rsidRDefault="002B49B4" w:rsidP="002B49B4">
            <w:pPr>
              <w:spacing w:after="0"/>
              <w:rPr>
                <w:rFonts w:cs="Arial"/>
                <w:color w:val="auto"/>
              </w:rPr>
            </w:pPr>
            <w:proofErr w:type="spellStart"/>
            <w:r w:rsidRPr="002B49B4">
              <w:rPr>
                <w:rFonts w:cs="Arial"/>
                <w:color w:val="auto"/>
              </w:rPr>
              <w:t>Cuttesllowe</w:t>
            </w:r>
            <w:proofErr w:type="spellEnd"/>
            <w:r w:rsidRPr="002B49B4">
              <w:rPr>
                <w:rFonts w:cs="Arial"/>
                <w:color w:val="auto"/>
              </w:rPr>
              <w:t xml:space="preserve"> - A40</w:t>
            </w:r>
          </w:p>
        </w:tc>
        <w:tc>
          <w:tcPr>
            <w:tcW w:w="1057" w:type="dxa"/>
            <w:tcBorders>
              <w:top w:val="nil"/>
              <w:left w:val="nil"/>
              <w:bottom w:val="single" w:sz="8" w:space="0" w:color="auto"/>
              <w:right w:val="nil"/>
            </w:tcBorders>
            <w:shd w:val="clear" w:color="auto" w:fill="auto"/>
            <w:noWrap/>
            <w:vAlign w:val="bottom"/>
            <w:hideMark/>
          </w:tcPr>
          <w:p w:rsidR="002B49B4" w:rsidRPr="002B49B4" w:rsidRDefault="002B49B4" w:rsidP="002B49B4">
            <w:pPr>
              <w:spacing w:after="0"/>
              <w:jc w:val="right"/>
              <w:rPr>
                <w:rFonts w:cs="Arial"/>
                <w:color w:val="auto"/>
              </w:rPr>
            </w:pPr>
            <w:r w:rsidRPr="002B49B4">
              <w:rPr>
                <w:rFonts w:cs="Arial"/>
                <w:color w:val="auto"/>
              </w:rPr>
              <w:t>60</w:t>
            </w:r>
          </w:p>
        </w:tc>
        <w:tc>
          <w:tcPr>
            <w:tcW w:w="1360" w:type="dxa"/>
            <w:tcBorders>
              <w:top w:val="nil"/>
              <w:left w:val="single" w:sz="8" w:space="0" w:color="auto"/>
              <w:bottom w:val="single" w:sz="8" w:space="0" w:color="auto"/>
              <w:right w:val="single" w:sz="4"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£0.80</w:t>
            </w:r>
          </w:p>
        </w:tc>
        <w:tc>
          <w:tcPr>
            <w:tcW w:w="1360" w:type="dxa"/>
            <w:tcBorders>
              <w:top w:val="nil"/>
              <w:left w:val="nil"/>
              <w:bottom w:val="single" w:sz="8" w:space="0" w:color="auto"/>
              <w:right w:val="single" w:sz="4"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£2.00</w:t>
            </w:r>
          </w:p>
        </w:tc>
        <w:tc>
          <w:tcPr>
            <w:tcW w:w="1560" w:type="dxa"/>
            <w:tcBorders>
              <w:top w:val="nil"/>
              <w:left w:val="nil"/>
              <w:bottom w:val="single" w:sz="8" w:space="0" w:color="auto"/>
              <w:right w:val="nil"/>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£3.00</w:t>
            </w:r>
          </w:p>
        </w:tc>
        <w:tc>
          <w:tcPr>
            <w:tcW w:w="1700" w:type="dxa"/>
            <w:tcBorders>
              <w:top w:val="nil"/>
              <w:left w:val="single" w:sz="4" w:space="0" w:color="auto"/>
              <w:bottom w:val="single" w:sz="8" w:space="0" w:color="auto"/>
              <w:right w:val="single" w:sz="8" w:space="0" w:color="auto"/>
            </w:tcBorders>
            <w:shd w:val="clear" w:color="auto" w:fill="auto"/>
            <w:noWrap/>
            <w:vAlign w:val="bottom"/>
            <w:hideMark/>
          </w:tcPr>
          <w:p w:rsidR="002B49B4" w:rsidRPr="002B49B4" w:rsidRDefault="002B49B4" w:rsidP="002B49B4">
            <w:pPr>
              <w:spacing w:after="0"/>
              <w:jc w:val="center"/>
              <w:rPr>
                <w:rFonts w:cs="Arial"/>
                <w:color w:val="auto"/>
              </w:rPr>
            </w:pPr>
            <w:r w:rsidRPr="002B49B4">
              <w:rPr>
                <w:rFonts w:cs="Arial"/>
                <w:color w:val="auto"/>
              </w:rPr>
              <w:t>Free</w:t>
            </w:r>
          </w:p>
        </w:tc>
      </w:tr>
    </w:tbl>
    <w:p w:rsidR="002B49B4" w:rsidRDefault="002B49B4" w:rsidP="007B771C">
      <w:pPr>
        <w:pStyle w:val="bParagraphtext"/>
        <w:numPr>
          <w:ilvl w:val="0"/>
          <w:numId w:val="0"/>
        </w:numPr>
        <w:ind w:left="426"/>
        <w:contextualSpacing/>
        <w:rPr>
          <w:i/>
        </w:rPr>
      </w:pPr>
    </w:p>
    <w:p w:rsidR="002B49B4" w:rsidRDefault="002B49B4" w:rsidP="007B771C">
      <w:pPr>
        <w:pStyle w:val="bParagraphtext"/>
        <w:numPr>
          <w:ilvl w:val="0"/>
          <w:numId w:val="0"/>
        </w:numPr>
        <w:ind w:left="426"/>
        <w:contextualSpacing/>
        <w:rPr>
          <w:i/>
        </w:rPr>
      </w:pPr>
    </w:p>
    <w:p w:rsidR="003F3091" w:rsidRPr="00677249" w:rsidRDefault="003F3091" w:rsidP="005F2D4B">
      <w:pPr>
        <w:pStyle w:val="bParagraphtext"/>
        <w:numPr>
          <w:ilvl w:val="0"/>
          <w:numId w:val="0"/>
        </w:numPr>
        <w:ind w:left="426"/>
        <w:contextualSpacing/>
      </w:pPr>
    </w:p>
    <w:p w:rsidR="003F3091" w:rsidRPr="00AB41A0" w:rsidRDefault="00B0268F">
      <w:pPr>
        <w:pStyle w:val="bParagraphtext"/>
        <w:contextualSpacing/>
      </w:pPr>
      <w:r w:rsidRPr="00AB41A0">
        <w:t xml:space="preserve">It is proposed that the </w:t>
      </w:r>
      <w:r w:rsidR="003F3091" w:rsidRPr="00AB41A0">
        <w:t xml:space="preserve">parking tariff will be in operation </w:t>
      </w:r>
      <w:r w:rsidR="00AB41A0">
        <w:t>between 08:00-18:00 Monday-Sunday</w:t>
      </w:r>
      <w:r w:rsidR="007B771C" w:rsidRPr="00AB41A0">
        <w:t xml:space="preserve">. </w:t>
      </w:r>
      <w:r w:rsidR="00AB41A0">
        <w:t xml:space="preserve">It is envisaged that this tariff structure </w:t>
      </w:r>
      <w:r w:rsidR="00D44C2E">
        <w:t>w</w:t>
      </w:r>
      <w:r w:rsidR="00AB143F">
        <w:t>ill</w:t>
      </w:r>
      <w:r w:rsidR="007B771C" w:rsidRPr="00AB41A0">
        <w:t xml:space="preserve"> </w:t>
      </w:r>
      <w:r w:rsidR="00AB41A0">
        <w:t>encourage the use of p</w:t>
      </w:r>
      <w:r w:rsidR="007B771C" w:rsidRPr="00AB41A0">
        <w:t>ublic transport</w:t>
      </w:r>
      <w:r w:rsidR="00AB41A0">
        <w:t xml:space="preserve"> where possible</w:t>
      </w:r>
      <w:r w:rsidR="007B771C" w:rsidRPr="00AB41A0">
        <w:t>.</w:t>
      </w:r>
    </w:p>
    <w:p w:rsidR="00BD575C" w:rsidRPr="00677249" w:rsidRDefault="00BD575C" w:rsidP="005F2D4B">
      <w:pPr>
        <w:pStyle w:val="bParagraphtext"/>
        <w:numPr>
          <w:ilvl w:val="0"/>
          <w:numId w:val="0"/>
        </w:numPr>
        <w:ind w:left="426"/>
        <w:contextualSpacing/>
      </w:pPr>
    </w:p>
    <w:p w:rsidR="002E754E" w:rsidRPr="00AB41A0" w:rsidRDefault="002E754E" w:rsidP="002E754E">
      <w:pPr>
        <w:pStyle w:val="bParagraphtext"/>
      </w:pPr>
      <w:r w:rsidRPr="00AB41A0">
        <w:t>Parking enforcement will be undertaken by the Council’s parking contractor Oxford Direct Services (ODSL) and penalty notices will be issued for non-compliance.</w:t>
      </w:r>
      <w:r w:rsidR="00AB41A0">
        <w:t xml:space="preserve"> </w:t>
      </w:r>
      <w:r w:rsidRPr="00AB41A0">
        <w:t>The current Excess Charge is £100 reduced to £50 if paid within 14 days in accordance with all other public off-street car parks operated by the City Council.</w:t>
      </w:r>
    </w:p>
    <w:p w:rsidR="003F3A6F" w:rsidRDefault="003F3A6F" w:rsidP="00453F61">
      <w:pPr>
        <w:pStyle w:val="ListParagraph"/>
        <w:numPr>
          <w:ilvl w:val="0"/>
          <w:numId w:val="0"/>
        </w:numPr>
        <w:ind w:left="426"/>
        <w:contextualSpacing/>
        <w:rPr>
          <w:i/>
        </w:rPr>
      </w:pPr>
    </w:p>
    <w:p w:rsidR="003F3A6F" w:rsidRDefault="003F3A6F">
      <w:pPr>
        <w:pStyle w:val="Heading1"/>
        <w:contextualSpacing/>
      </w:pPr>
      <w:r w:rsidRPr="001356F1">
        <w:t>Financial implications</w:t>
      </w:r>
    </w:p>
    <w:p w:rsidR="003F3A6F" w:rsidRDefault="003F3A6F" w:rsidP="005F2D4B">
      <w:pPr>
        <w:pStyle w:val="ListParagraph"/>
        <w:numPr>
          <w:ilvl w:val="0"/>
          <w:numId w:val="0"/>
        </w:numPr>
        <w:ind w:left="426"/>
        <w:contextualSpacing/>
        <w:rPr>
          <w:i/>
        </w:rPr>
      </w:pPr>
    </w:p>
    <w:p w:rsidR="00226C29" w:rsidRPr="00AB41A0" w:rsidRDefault="002E754E" w:rsidP="002E754E">
      <w:pPr>
        <w:pStyle w:val="bParagraphtext"/>
        <w:contextualSpacing/>
      </w:pPr>
      <w:r w:rsidRPr="00AB41A0">
        <w:t xml:space="preserve">To enable parking enforcement, </w:t>
      </w:r>
      <w:r w:rsidR="00226C29" w:rsidRPr="00AB41A0">
        <w:t>the Council/ODS will need to ins</w:t>
      </w:r>
      <w:r w:rsidR="0038674D" w:rsidRPr="00AB41A0">
        <w:t xml:space="preserve">tall a small amount of signage and two ticket machines. </w:t>
      </w:r>
    </w:p>
    <w:p w:rsidR="0038674D" w:rsidRDefault="0038674D" w:rsidP="0038674D">
      <w:pPr>
        <w:pStyle w:val="bParagraphtext"/>
        <w:numPr>
          <w:ilvl w:val="0"/>
          <w:numId w:val="0"/>
        </w:numPr>
        <w:ind w:left="426"/>
        <w:contextualSpacing/>
      </w:pPr>
    </w:p>
    <w:p w:rsidR="0038674D" w:rsidRPr="00AB41A0" w:rsidRDefault="0038674D" w:rsidP="002E754E">
      <w:pPr>
        <w:pStyle w:val="bParagraphtext"/>
        <w:contextualSpacing/>
      </w:pPr>
      <w:r w:rsidRPr="00AB41A0">
        <w:t xml:space="preserve">Customers will also be able to pay for their parking using the </w:t>
      </w:r>
      <w:r w:rsidR="00AB41A0">
        <w:t xml:space="preserve">Council’s pay by phone service, RingGo. </w:t>
      </w:r>
      <w:r w:rsidRPr="00AB41A0">
        <w:t xml:space="preserve"> </w:t>
      </w:r>
    </w:p>
    <w:p w:rsidR="00CF0BFA" w:rsidRDefault="00CF0BFA" w:rsidP="00CF0BFA">
      <w:pPr>
        <w:pStyle w:val="bParagraphtext"/>
        <w:numPr>
          <w:ilvl w:val="0"/>
          <w:numId w:val="0"/>
        </w:numPr>
        <w:ind w:left="426"/>
        <w:contextualSpacing/>
      </w:pPr>
    </w:p>
    <w:p w:rsidR="00CF0BFA" w:rsidRPr="00AB41A0" w:rsidRDefault="00CF0BFA" w:rsidP="00CF0BFA">
      <w:pPr>
        <w:pStyle w:val="bParagraphtext"/>
      </w:pPr>
      <w:r w:rsidRPr="00AB41A0">
        <w:t xml:space="preserve">The car park has been recently resurfaced.  For this site to be maintained to an acceptable standard, it is suggested that a £5,000 per </w:t>
      </w:r>
      <w:proofErr w:type="gramStart"/>
      <w:r w:rsidRPr="00AB41A0">
        <w:t>annum</w:t>
      </w:r>
      <w:r w:rsidR="00AB143F">
        <w:t xml:space="preserve"> </w:t>
      </w:r>
      <w:r w:rsidRPr="00AB41A0">
        <w:t xml:space="preserve"> budget</w:t>
      </w:r>
      <w:proofErr w:type="gramEnd"/>
      <w:r w:rsidRPr="00AB41A0">
        <w:t xml:space="preserve"> provision is created. </w:t>
      </w:r>
    </w:p>
    <w:p w:rsidR="00CF0BFA" w:rsidRPr="00AB41A0" w:rsidRDefault="00CF0BFA" w:rsidP="00CF0BFA">
      <w:pPr>
        <w:pStyle w:val="bParagraphtext"/>
      </w:pPr>
      <w:r w:rsidRPr="00AB41A0">
        <w:t>It is not envisaged that this car park will generate any significant income. Any proceeds derived from the parking operation could be used to assist in the ongoing maintenance of the site.</w:t>
      </w:r>
    </w:p>
    <w:p w:rsidR="00CF0BFA" w:rsidRDefault="00CF0BFA" w:rsidP="00CF0BFA">
      <w:pPr>
        <w:pStyle w:val="bParagraphtext"/>
        <w:numPr>
          <w:ilvl w:val="0"/>
          <w:numId w:val="0"/>
        </w:numPr>
        <w:ind w:left="426"/>
      </w:pPr>
    </w:p>
    <w:p w:rsidR="00A6455B" w:rsidRPr="00CF0BFA" w:rsidRDefault="00A6455B" w:rsidP="00CF0BFA">
      <w:pPr>
        <w:pStyle w:val="bParagraphtext"/>
        <w:numPr>
          <w:ilvl w:val="0"/>
          <w:numId w:val="0"/>
        </w:numPr>
        <w:ind w:left="426"/>
      </w:pPr>
    </w:p>
    <w:p w:rsidR="002659A6" w:rsidRPr="001356F1" w:rsidRDefault="002659A6">
      <w:pPr>
        <w:pStyle w:val="Heading1"/>
        <w:contextualSpacing/>
      </w:pPr>
      <w:r w:rsidRPr="001356F1">
        <w:lastRenderedPageBreak/>
        <w:t>Legal issues</w:t>
      </w:r>
    </w:p>
    <w:p w:rsidR="002659A6" w:rsidRDefault="002659A6" w:rsidP="005F2D4B">
      <w:pPr>
        <w:pStyle w:val="ListParagraph"/>
        <w:numPr>
          <w:ilvl w:val="0"/>
          <w:numId w:val="0"/>
        </w:numPr>
        <w:ind w:left="426"/>
        <w:contextualSpacing/>
        <w:rPr>
          <w:i/>
        </w:rPr>
      </w:pPr>
    </w:p>
    <w:p w:rsidR="00370095" w:rsidRPr="00AB41A0" w:rsidRDefault="00370095" w:rsidP="00370095">
      <w:pPr>
        <w:pStyle w:val="ListParagraph"/>
        <w:ind w:left="360" w:hanging="360"/>
      </w:pPr>
      <w:r w:rsidRPr="00AB41A0">
        <w:t xml:space="preserve">If the recommendation is ratified, the Council will be required to obtain consent from the Highways </w:t>
      </w:r>
      <w:r w:rsidR="001E1ACA">
        <w:t>A</w:t>
      </w:r>
      <w:r w:rsidRPr="00AB41A0">
        <w:t xml:space="preserve">uthority to the proposals contained within this report and then to </w:t>
      </w:r>
      <w:r w:rsidR="001E1ACA">
        <w:t xml:space="preserve"> make an</w:t>
      </w:r>
      <w:r w:rsidRPr="00AB41A0">
        <w:t xml:space="preserve"> </w:t>
      </w:r>
      <w:r w:rsidR="001E1ACA">
        <w:t>o</w:t>
      </w:r>
      <w:r w:rsidRPr="00AB41A0">
        <w:t>rder</w:t>
      </w:r>
      <w:r w:rsidR="001E1ACA">
        <w:t xml:space="preserve"> varying the Council’s existing Off-Street Parking Places Order to include</w:t>
      </w:r>
      <w:r w:rsidRPr="00AB41A0">
        <w:t xml:space="preserve"> </w:t>
      </w:r>
      <w:r w:rsidR="001E1ACA">
        <w:t>Marsh Road Car Park.</w:t>
      </w:r>
      <w:r w:rsidRPr="00AB41A0">
        <w:t xml:space="preserve"> The </w:t>
      </w:r>
      <w:r w:rsidR="001E1ACA">
        <w:t xml:space="preserve">draft </w:t>
      </w:r>
      <w:r w:rsidRPr="00AB41A0">
        <w:t>Order must be advertised for 21 days. This provides customers with an opportunity to formally comment on the proposal.</w:t>
      </w:r>
    </w:p>
    <w:p w:rsidR="0038674D" w:rsidRPr="002D0288" w:rsidRDefault="0038674D" w:rsidP="002D0288">
      <w:pPr>
        <w:contextualSpacing/>
        <w:rPr>
          <w:b/>
        </w:rPr>
      </w:pPr>
    </w:p>
    <w:p w:rsidR="002659A6" w:rsidRDefault="002659A6" w:rsidP="005F2D4B">
      <w:pPr>
        <w:pStyle w:val="ListParagraph"/>
        <w:numPr>
          <w:ilvl w:val="0"/>
          <w:numId w:val="0"/>
        </w:numPr>
        <w:ind w:left="426" w:hanging="426"/>
        <w:contextualSpacing/>
        <w:rPr>
          <w:b/>
        </w:rPr>
      </w:pPr>
      <w:r w:rsidRPr="002659A6">
        <w:rPr>
          <w:b/>
        </w:rPr>
        <w:t xml:space="preserve">Consultation </w:t>
      </w:r>
    </w:p>
    <w:p w:rsidR="0038674D" w:rsidRPr="002659A6" w:rsidRDefault="0038674D" w:rsidP="005F2D4B">
      <w:pPr>
        <w:pStyle w:val="ListParagraph"/>
        <w:numPr>
          <w:ilvl w:val="0"/>
          <w:numId w:val="0"/>
        </w:numPr>
        <w:ind w:left="426" w:hanging="426"/>
        <w:contextualSpacing/>
        <w:rPr>
          <w:b/>
        </w:rPr>
      </w:pPr>
    </w:p>
    <w:p w:rsidR="00370095" w:rsidRPr="00AB41A0" w:rsidRDefault="00370095" w:rsidP="00370095">
      <w:pPr>
        <w:pStyle w:val="ListParagraph"/>
        <w:contextualSpacing/>
      </w:pPr>
      <w:r w:rsidRPr="00AB41A0">
        <w:t xml:space="preserve">Once the CEB has ratified the proposal, the Traffic Order will be advertised in the local press and notices displayed within the affected car park. This notice will invite customers to formally comment on the proposal. </w:t>
      </w:r>
    </w:p>
    <w:p w:rsidR="00370095" w:rsidRPr="00370095" w:rsidRDefault="00370095" w:rsidP="00370095">
      <w:pPr>
        <w:pStyle w:val="ListParagraph"/>
        <w:numPr>
          <w:ilvl w:val="0"/>
          <w:numId w:val="0"/>
        </w:numPr>
        <w:ind w:left="426"/>
        <w:rPr>
          <w:i/>
        </w:rPr>
      </w:pPr>
    </w:p>
    <w:p w:rsidR="00370095" w:rsidRPr="00AB41A0" w:rsidRDefault="00370095" w:rsidP="00370095">
      <w:pPr>
        <w:pStyle w:val="ListParagraph"/>
        <w:ind w:left="360" w:hanging="360"/>
        <w:contextualSpacing/>
      </w:pPr>
      <w:r w:rsidRPr="00AB41A0">
        <w:t>If the proposal is agreed and a variation order is advertised, any comments received will be considered in consultation with the relevant Board Member</w:t>
      </w:r>
      <w:r w:rsidR="00AB143F">
        <w:t xml:space="preserve"> before the order is confirmed.</w:t>
      </w:r>
    </w:p>
    <w:p w:rsidR="002659A6" w:rsidRPr="006B7E66" w:rsidRDefault="002659A6" w:rsidP="005F2D4B">
      <w:pPr>
        <w:pStyle w:val="ListParagraph"/>
        <w:numPr>
          <w:ilvl w:val="0"/>
          <w:numId w:val="0"/>
        </w:numPr>
        <w:ind w:left="426"/>
        <w:contextualSpacing/>
        <w:rPr>
          <w:i/>
        </w:rPr>
      </w:pPr>
    </w:p>
    <w:p w:rsidR="00AB41A0" w:rsidRPr="00AB41A0" w:rsidRDefault="002329CF" w:rsidP="00A6455B">
      <w:pPr>
        <w:pStyle w:val="Heading1"/>
        <w:contextualSpacing/>
      </w:pPr>
      <w:r w:rsidRPr="001356F1">
        <w:t>Level of risk</w:t>
      </w:r>
    </w:p>
    <w:p w:rsidR="009D3522" w:rsidRPr="00AB41A0" w:rsidRDefault="006A07E2">
      <w:pPr>
        <w:pStyle w:val="ListParagraph"/>
        <w:contextualSpacing/>
        <w:rPr>
          <w:color w:val="auto"/>
        </w:rPr>
      </w:pPr>
      <w:r>
        <w:rPr>
          <w:color w:val="auto"/>
        </w:rPr>
        <w:t>A</w:t>
      </w:r>
      <w:r w:rsidRPr="00AB41A0">
        <w:rPr>
          <w:color w:val="auto"/>
        </w:rPr>
        <w:t xml:space="preserve"> requirement</w:t>
      </w:r>
      <w:r w:rsidR="00E32E2C">
        <w:rPr>
          <w:color w:val="auto"/>
        </w:rPr>
        <w:t xml:space="preserve"> of planning approval (ref</w:t>
      </w:r>
      <w:r w:rsidR="00E43C17">
        <w:rPr>
          <w:color w:val="auto"/>
        </w:rPr>
        <w:t xml:space="preserve"> 17/00617/CT3</w:t>
      </w:r>
      <w:r w:rsidR="00E32E2C">
        <w:rPr>
          <w:color w:val="auto"/>
        </w:rPr>
        <w:t>)</w:t>
      </w:r>
      <w:r>
        <w:rPr>
          <w:color w:val="auto"/>
        </w:rPr>
        <w:t xml:space="preserve"> was that </w:t>
      </w:r>
      <w:r w:rsidR="009D3522" w:rsidRPr="00AB41A0">
        <w:rPr>
          <w:color w:val="auto"/>
        </w:rPr>
        <w:t xml:space="preserve">the Council must introduce a parking scheme. </w:t>
      </w:r>
    </w:p>
    <w:p w:rsidR="009D3522" w:rsidRDefault="009D3522" w:rsidP="009D3522">
      <w:pPr>
        <w:pStyle w:val="ListParagraph"/>
        <w:numPr>
          <w:ilvl w:val="0"/>
          <w:numId w:val="0"/>
        </w:numPr>
        <w:ind w:left="426"/>
        <w:contextualSpacing/>
        <w:rPr>
          <w:i/>
          <w:color w:val="auto"/>
        </w:rPr>
      </w:pPr>
    </w:p>
    <w:p w:rsidR="009D3522" w:rsidRPr="008D0928" w:rsidRDefault="00844FD3" w:rsidP="008D0928">
      <w:pPr>
        <w:pStyle w:val="ListParagraph"/>
        <w:ind w:left="360" w:hanging="360"/>
        <w:contextualSpacing/>
        <w:rPr>
          <w:color w:val="auto"/>
        </w:rPr>
      </w:pPr>
      <w:r w:rsidRPr="008D0928">
        <w:rPr>
          <w:color w:val="auto"/>
        </w:rPr>
        <w:t>Failure to implement the charging regime</w:t>
      </w:r>
      <w:r w:rsidR="00B73521">
        <w:rPr>
          <w:color w:val="auto"/>
        </w:rPr>
        <w:t xml:space="preserve"> </w:t>
      </w:r>
      <w:r w:rsidR="008D0928" w:rsidRPr="008D0928">
        <w:rPr>
          <w:color w:val="auto"/>
        </w:rPr>
        <w:t xml:space="preserve">could be considered </w:t>
      </w:r>
      <w:r w:rsidRPr="008D0928">
        <w:rPr>
          <w:color w:val="auto"/>
        </w:rPr>
        <w:t>to be a breach of the condition attached to the planning approval, as per para 21.</w:t>
      </w:r>
    </w:p>
    <w:p w:rsidR="009D3522" w:rsidRDefault="009D3522" w:rsidP="009D3522">
      <w:pPr>
        <w:pStyle w:val="ListParagraph"/>
        <w:numPr>
          <w:ilvl w:val="0"/>
          <w:numId w:val="0"/>
        </w:numPr>
        <w:ind w:left="426"/>
        <w:contextualSpacing/>
        <w:rPr>
          <w:color w:val="auto"/>
        </w:rPr>
      </w:pPr>
    </w:p>
    <w:p w:rsidR="008A5E57" w:rsidRPr="00677249" w:rsidRDefault="00E87F7A" w:rsidP="00A6455B">
      <w:pPr>
        <w:pStyle w:val="Heading1"/>
        <w:contextualSpacing/>
      </w:pPr>
      <w:r w:rsidRPr="001356F1">
        <w:t>Conclusion</w:t>
      </w:r>
      <w:r w:rsidR="008A5E57" w:rsidRPr="00677249">
        <w:t xml:space="preserve"> </w:t>
      </w:r>
    </w:p>
    <w:p w:rsidR="008A5E57" w:rsidRPr="00AB41A0" w:rsidRDefault="008A5E57">
      <w:pPr>
        <w:pStyle w:val="ListParagraph"/>
        <w:contextualSpacing/>
      </w:pPr>
      <w:r w:rsidRPr="00AB41A0">
        <w:t xml:space="preserve">The </w:t>
      </w:r>
      <w:r w:rsidR="00E67F58" w:rsidRPr="00AB41A0">
        <w:t>C</w:t>
      </w:r>
      <w:r w:rsidRPr="00AB41A0">
        <w:t xml:space="preserve">ouncil </w:t>
      </w:r>
      <w:r w:rsidR="00370095" w:rsidRPr="00AB41A0">
        <w:t xml:space="preserve">has </w:t>
      </w:r>
      <w:r w:rsidRPr="00AB41A0">
        <w:t>invest</w:t>
      </w:r>
      <w:r w:rsidR="00370095" w:rsidRPr="00AB41A0">
        <w:t>ed</w:t>
      </w:r>
      <w:r w:rsidRPr="00AB41A0">
        <w:t xml:space="preserve"> a significant sum to upgrade this facility and the introduction of charging will assist in the ongoing maintenance of this site. </w:t>
      </w:r>
    </w:p>
    <w:p w:rsidR="008A5E57" w:rsidRPr="00677249" w:rsidRDefault="008A5E57" w:rsidP="005F2D4B">
      <w:pPr>
        <w:pStyle w:val="ListParagraph"/>
        <w:numPr>
          <w:ilvl w:val="0"/>
          <w:numId w:val="0"/>
        </w:numPr>
        <w:ind w:left="426"/>
        <w:contextualSpacing/>
      </w:pPr>
    </w:p>
    <w:p w:rsidR="008A5E57" w:rsidRPr="00AB41A0" w:rsidRDefault="008A5E57">
      <w:pPr>
        <w:pStyle w:val="ListParagraph"/>
        <w:contextualSpacing/>
      </w:pPr>
      <w:r w:rsidRPr="00AB41A0">
        <w:t>The Council’s experience of operating car parks adjacent to park facilities</w:t>
      </w:r>
      <w:r w:rsidR="006B3426" w:rsidRPr="00AB41A0">
        <w:t xml:space="preserve"> </w:t>
      </w:r>
      <w:r w:rsidRPr="00AB41A0">
        <w:t xml:space="preserve"> suggest that the Park will not be adversely affected by the introduction of a scheme of this nature.</w:t>
      </w:r>
    </w:p>
    <w:p w:rsidR="00B0268F" w:rsidRPr="00B0268F" w:rsidRDefault="00B0268F" w:rsidP="00B0268F">
      <w:pPr>
        <w:pStyle w:val="ListParagraph"/>
        <w:numPr>
          <w:ilvl w:val="0"/>
          <w:numId w:val="0"/>
        </w:numPr>
        <w:ind w:left="426"/>
        <w:rPr>
          <w:i/>
        </w:rPr>
      </w:pPr>
    </w:p>
    <w:p w:rsidR="00B0268F" w:rsidRPr="00AB41A0" w:rsidRDefault="00B0268F" w:rsidP="00B0268F">
      <w:pPr>
        <w:pStyle w:val="ListParagraph"/>
        <w:ind w:left="360" w:hanging="360"/>
      </w:pPr>
      <w:r w:rsidRPr="00AB41A0">
        <w:t xml:space="preserve">Implementing a tariff may encourage </w:t>
      </w:r>
      <w:r w:rsidR="00AB41A0">
        <w:t xml:space="preserve">existing users </w:t>
      </w:r>
      <w:r w:rsidRPr="00AB41A0">
        <w:t xml:space="preserve">to utilise more sustainable methods of transport or car share, consequently reducing congestion in the area.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16C86" w:rsidP="00A46E98">
            <w:r>
              <w:t>Jason Munro</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16C86" w:rsidP="00A46E98">
            <w:r>
              <w:t>Parking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16C86" w:rsidP="00A46E98">
            <w:r>
              <w:t>Direct Service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5276A9">
            <w:r w:rsidRPr="001356F1">
              <w:t xml:space="preserve">01865 </w:t>
            </w:r>
            <w:r w:rsidR="005276A9">
              <w:rPr>
                <w:rFonts w:cs="Arial"/>
                <w:spacing w:val="4"/>
                <w:sz w:val="22"/>
                <w:szCs w:val="22"/>
                <w:lang w:val="en"/>
              </w:rPr>
              <w:t>(25)2125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276A9" w:rsidP="00A46E98">
            <w:pPr>
              <w:rPr>
                <w:rStyle w:val="Hyperlink"/>
                <w:color w:val="000000"/>
              </w:rPr>
            </w:pPr>
            <w:r w:rsidRPr="005276A9">
              <w:rPr>
                <w:rStyle w:val="Hyperlink"/>
                <w:color w:val="000000"/>
              </w:rPr>
              <w:t>Jason.Munro@oxfordds.co.uk</w:t>
            </w:r>
          </w:p>
        </w:tc>
      </w:tr>
    </w:tbl>
    <w:p w:rsidR="00433B96" w:rsidRPr="001356F1" w:rsidRDefault="00433B96" w:rsidP="004A6D2F"/>
    <w:sectPr w:rsidR="00433B96" w:rsidRPr="001356F1"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62" w:rsidRDefault="00A03362" w:rsidP="004A6D2F">
      <w:r>
        <w:separator/>
      </w:r>
    </w:p>
  </w:endnote>
  <w:endnote w:type="continuationSeparator" w:id="0">
    <w:p w:rsidR="00A03362" w:rsidRDefault="00A0336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62" w:rsidRDefault="00A03362" w:rsidP="004A6D2F">
      <w:r>
        <w:separator/>
      </w:r>
    </w:p>
  </w:footnote>
  <w:footnote w:type="continuationSeparator" w:id="0">
    <w:p w:rsidR="00A03362" w:rsidRDefault="00A0336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A64924" w:rsidP="00D5547E">
    <w:pPr>
      <w:pStyle w:val="Header"/>
      <w:jc w:val="right"/>
    </w:pPr>
    <w:r>
      <w:rPr>
        <w:noProof/>
      </w:rPr>
      <w:drawing>
        <wp:inline distT="0" distB="0" distL="0" distR="0" wp14:anchorId="0E8D266C" wp14:editId="5807C83D">
          <wp:extent cx="836295" cy="1114425"/>
          <wp:effectExtent l="0" t="0" r="1905"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A1417B"/>
    <w:multiLevelType w:val="hybridMultilevel"/>
    <w:tmpl w:val="94343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F86472"/>
    <w:multiLevelType w:val="hybridMultilevel"/>
    <w:tmpl w:val="4EDE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634FA4"/>
    <w:multiLevelType w:val="hybridMultilevel"/>
    <w:tmpl w:val="D11E0BF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7863D5A"/>
    <w:multiLevelType w:val="hybridMultilevel"/>
    <w:tmpl w:val="30DCB03C"/>
    <w:lvl w:ilvl="0" w:tplc="8B7ECF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2A72EE"/>
    <w:multiLevelType w:val="multilevel"/>
    <w:tmpl w:val="CD92D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7"/>
  </w:num>
  <w:num w:numId="2">
    <w:abstractNumId w:val="34"/>
  </w:num>
  <w:num w:numId="3">
    <w:abstractNumId w:val="24"/>
  </w:num>
  <w:num w:numId="4">
    <w:abstractNumId w:val="20"/>
  </w:num>
  <w:num w:numId="5">
    <w:abstractNumId w:val="30"/>
  </w:num>
  <w:num w:numId="6">
    <w:abstractNumId w:val="36"/>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7"/>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2"/>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16"/>
  </w:num>
  <w:num w:numId="36">
    <w:abstractNumId w:val="1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Howick">
    <w15:presenceInfo w15:providerId="AD" w15:userId="S-1-5-21-38480843-1272404328-111032338-13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24"/>
    <w:rsid w:val="000117D4"/>
    <w:rsid w:val="0001633D"/>
    <w:rsid w:val="000314D7"/>
    <w:rsid w:val="00045F8B"/>
    <w:rsid w:val="00046D2B"/>
    <w:rsid w:val="00056263"/>
    <w:rsid w:val="00064D8A"/>
    <w:rsid w:val="00064F82"/>
    <w:rsid w:val="00066510"/>
    <w:rsid w:val="00077523"/>
    <w:rsid w:val="00081858"/>
    <w:rsid w:val="000C089F"/>
    <w:rsid w:val="000C3928"/>
    <w:rsid w:val="000C5E8E"/>
    <w:rsid w:val="000D0645"/>
    <w:rsid w:val="000F4751"/>
    <w:rsid w:val="00100580"/>
    <w:rsid w:val="0010524C"/>
    <w:rsid w:val="00111FB1"/>
    <w:rsid w:val="00113418"/>
    <w:rsid w:val="001356F1"/>
    <w:rsid w:val="00136994"/>
    <w:rsid w:val="0014128E"/>
    <w:rsid w:val="00143A0E"/>
    <w:rsid w:val="00151888"/>
    <w:rsid w:val="00170A2D"/>
    <w:rsid w:val="001808BC"/>
    <w:rsid w:val="00182B81"/>
    <w:rsid w:val="0018619D"/>
    <w:rsid w:val="001A011E"/>
    <w:rsid w:val="001A066A"/>
    <w:rsid w:val="001A13E6"/>
    <w:rsid w:val="001A5731"/>
    <w:rsid w:val="001B42C3"/>
    <w:rsid w:val="001B7452"/>
    <w:rsid w:val="001C5D5E"/>
    <w:rsid w:val="001D678D"/>
    <w:rsid w:val="001E03F8"/>
    <w:rsid w:val="001E1678"/>
    <w:rsid w:val="001E1ACA"/>
    <w:rsid w:val="001E3376"/>
    <w:rsid w:val="001F4841"/>
    <w:rsid w:val="002069B3"/>
    <w:rsid w:val="00225296"/>
    <w:rsid w:val="00226C29"/>
    <w:rsid w:val="002329CF"/>
    <w:rsid w:val="00232F5B"/>
    <w:rsid w:val="00247C29"/>
    <w:rsid w:val="00247FAA"/>
    <w:rsid w:val="00260467"/>
    <w:rsid w:val="00263EA3"/>
    <w:rsid w:val="002659A6"/>
    <w:rsid w:val="002759A6"/>
    <w:rsid w:val="00284F85"/>
    <w:rsid w:val="00290915"/>
    <w:rsid w:val="00294908"/>
    <w:rsid w:val="002A22E2"/>
    <w:rsid w:val="002B49B4"/>
    <w:rsid w:val="002B66A0"/>
    <w:rsid w:val="002C64F7"/>
    <w:rsid w:val="002D0288"/>
    <w:rsid w:val="002D10D3"/>
    <w:rsid w:val="002E754E"/>
    <w:rsid w:val="002F41F2"/>
    <w:rsid w:val="00301BF3"/>
    <w:rsid w:val="0030208D"/>
    <w:rsid w:val="00310B55"/>
    <w:rsid w:val="00317289"/>
    <w:rsid w:val="00323418"/>
    <w:rsid w:val="003257F7"/>
    <w:rsid w:val="003357BF"/>
    <w:rsid w:val="00364FAD"/>
    <w:rsid w:val="0036738F"/>
    <w:rsid w:val="0036759C"/>
    <w:rsid w:val="00367AE5"/>
    <w:rsid w:val="00367D71"/>
    <w:rsid w:val="00370095"/>
    <w:rsid w:val="003714EB"/>
    <w:rsid w:val="0038150A"/>
    <w:rsid w:val="0038674D"/>
    <w:rsid w:val="003B6E75"/>
    <w:rsid w:val="003B7DA1"/>
    <w:rsid w:val="003C4CC3"/>
    <w:rsid w:val="003D0379"/>
    <w:rsid w:val="003D2574"/>
    <w:rsid w:val="003D4C59"/>
    <w:rsid w:val="003F3091"/>
    <w:rsid w:val="003F3A6F"/>
    <w:rsid w:val="003F4267"/>
    <w:rsid w:val="003F5C11"/>
    <w:rsid w:val="00404032"/>
    <w:rsid w:val="0040736F"/>
    <w:rsid w:val="00412C1F"/>
    <w:rsid w:val="00421CB2"/>
    <w:rsid w:val="004268B9"/>
    <w:rsid w:val="00433B96"/>
    <w:rsid w:val="0043573C"/>
    <w:rsid w:val="004440F1"/>
    <w:rsid w:val="004456DD"/>
    <w:rsid w:val="00446CDF"/>
    <w:rsid w:val="004521B7"/>
    <w:rsid w:val="00453F61"/>
    <w:rsid w:val="00457984"/>
    <w:rsid w:val="00462AB5"/>
    <w:rsid w:val="00465335"/>
    <w:rsid w:val="00465EAF"/>
    <w:rsid w:val="004738C5"/>
    <w:rsid w:val="00491046"/>
    <w:rsid w:val="0049361B"/>
    <w:rsid w:val="004A2AC7"/>
    <w:rsid w:val="004A6D2F"/>
    <w:rsid w:val="004C2887"/>
    <w:rsid w:val="004D2626"/>
    <w:rsid w:val="004D6E26"/>
    <w:rsid w:val="004D77D3"/>
    <w:rsid w:val="004E2959"/>
    <w:rsid w:val="004E4EBF"/>
    <w:rsid w:val="004F20EF"/>
    <w:rsid w:val="0050321C"/>
    <w:rsid w:val="00516823"/>
    <w:rsid w:val="005276A9"/>
    <w:rsid w:val="0054712D"/>
    <w:rsid w:val="00547EF6"/>
    <w:rsid w:val="005570B5"/>
    <w:rsid w:val="00567E18"/>
    <w:rsid w:val="00575F5F"/>
    <w:rsid w:val="00581805"/>
    <w:rsid w:val="00585F76"/>
    <w:rsid w:val="00587E8A"/>
    <w:rsid w:val="005A34E4"/>
    <w:rsid w:val="005A548F"/>
    <w:rsid w:val="005B17F2"/>
    <w:rsid w:val="005B3A08"/>
    <w:rsid w:val="005B7FB0"/>
    <w:rsid w:val="005C1C01"/>
    <w:rsid w:val="005C35A5"/>
    <w:rsid w:val="005C577C"/>
    <w:rsid w:val="005D0621"/>
    <w:rsid w:val="005D1E27"/>
    <w:rsid w:val="005D2A3E"/>
    <w:rsid w:val="005E022E"/>
    <w:rsid w:val="005E5215"/>
    <w:rsid w:val="005F256C"/>
    <w:rsid w:val="005F2D4B"/>
    <w:rsid w:val="005F7F7E"/>
    <w:rsid w:val="00614693"/>
    <w:rsid w:val="00623C2F"/>
    <w:rsid w:val="00633578"/>
    <w:rsid w:val="00637068"/>
    <w:rsid w:val="00650811"/>
    <w:rsid w:val="00656864"/>
    <w:rsid w:val="00661D3E"/>
    <w:rsid w:val="006662FE"/>
    <w:rsid w:val="00677249"/>
    <w:rsid w:val="00692627"/>
    <w:rsid w:val="006969E7"/>
    <w:rsid w:val="006A07E2"/>
    <w:rsid w:val="006A3643"/>
    <w:rsid w:val="006B3426"/>
    <w:rsid w:val="006B7E66"/>
    <w:rsid w:val="006C2A25"/>
    <w:rsid w:val="006C2A29"/>
    <w:rsid w:val="006C64CF"/>
    <w:rsid w:val="006D17B1"/>
    <w:rsid w:val="006D4752"/>
    <w:rsid w:val="006D708A"/>
    <w:rsid w:val="006E14C1"/>
    <w:rsid w:val="006E7162"/>
    <w:rsid w:val="006F0292"/>
    <w:rsid w:val="006F27FA"/>
    <w:rsid w:val="006F416B"/>
    <w:rsid w:val="006F519B"/>
    <w:rsid w:val="00713675"/>
    <w:rsid w:val="00715823"/>
    <w:rsid w:val="00715C53"/>
    <w:rsid w:val="00737B93"/>
    <w:rsid w:val="00745BF0"/>
    <w:rsid w:val="00752776"/>
    <w:rsid w:val="0075570E"/>
    <w:rsid w:val="007615FE"/>
    <w:rsid w:val="0076655C"/>
    <w:rsid w:val="00772422"/>
    <w:rsid w:val="007742DC"/>
    <w:rsid w:val="00791437"/>
    <w:rsid w:val="007A436D"/>
    <w:rsid w:val="007B0C2C"/>
    <w:rsid w:val="007B278E"/>
    <w:rsid w:val="007B5FA3"/>
    <w:rsid w:val="007B771C"/>
    <w:rsid w:val="007C5C23"/>
    <w:rsid w:val="007E2A26"/>
    <w:rsid w:val="007F2348"/>
    <w:rsid w:val="00803F07"/>
    <w:rsid w:val="0080749A"/>
    <w:rsid w:val="008165CF"/>
    <w:rsid w:val="00821FB8"/>
    <w:rsid w:val="00822ACD"/>
    <w:rsid w:val="00824C98"/>
    <w:rsid w:val="008423BB"/>
    <w:rsid w:val="00844FD3"/>
    <w:rsid w:val="00855C66"/>
    <w:rsid w:val="0086660F"/>
    <w:rsid w:val="00871EE4"/>
    <w:rsid w:val="008838F8"/>
    <w:rsid w:val="008A5E57"/>
    <w:rsid w:val="008B293F"/>
    <w:rsid w:val="008B7371"/>
    <w:rsid w:val="008D0928"/>
    <w:rsid w:val="008D3DDB"/>
    <w:rsid w:val="008E4648"/>
    <w:rsid w:val="008F573F"/>
    <w:rsid w:val="009034EC"/>
    <w:rsid w:val="00920566"/>
    <w:rsid w:val="0093067A"/>
    <w:rsid w:val="00941C60"/>
    <w:rsid w:val="009510B9"/>
    <w:rsid w:val="00960C44"/>
    <w:rsid w:val="009646AB"/>
    <w:rsid w:val="00966D42"/>
    <w:rsid w:val="00971689"/>
    <w:rsid w:val="00973E90"/>
    <w:rsid w:val="00975B07"/>
    <w:rsid w:val="00980B4A"/>
    <w:rsid w:val="00990A14"/>
    <w:rsid w:val="009A1760"/>
    <w:rsid w:val="009B604D"/>
    <w:rsid w:val="009D3522"/>
    <w:rsid w:val="009E1D20"/>
    <w:rsid w:val="009E293D"/>
    <w:rsid w:val="009E3D0A"/>
    <w:rsid w:val="009E51FC"/>
    <w:rsid w:val="009F14D5"/>
    <w:rsid w:val="009F1D28"/>
    <w:rsid w:val="009F4F57"/>
    <w:rsid w:val="009F7618"/>
    <w:rsid w:val="00A03362"/>
    <w:rsid w:val="00A04D23"/>
    <w:rsid w:val="00A06766"/>
    <w:rsid w:val="00A13765"/>
    <w:rsid w:val="00A21B12"/>
    <w:rsid w:val="00A23F80"/>
    <w:rsid w:val="00A34C5F"/>
    <w:rsid w:val="00A46E98"/>
    <w:rsid w:val="00A6352B"/>
    <w:rsid w:val="00A6455B"/>
    <w:rsid w:val="00A64924"/>
    <w:rsid w:val="00A701B5"/>
    <w:rsid w:val="00A714BB"/>
    <w:rsid w:val="00A92656"/>
    <w:rsid w:val="00A92D8F"/>
    <w:rsid w:val="00AB143F"/>
    <w:rsid w:val="00AB2988"/>
    <w:rsid w:val="00AB41A0"/>
    <w:rsid w:val="00AB7999"/>
    <w:rsid w:val="00AC3A5A"/>
    <w:rsid w:val="00AD3292"/>
    <w:rsid w:val="00AE7AF0"/>
    <w:rsid w:val="00B0268F"/>
    <w:rsid w:val="00B356BA"/>
    <w:rsid w:val="00B4020C"/>
    <w:rsid w:val="00B500CA"/>
    <w:rsid w:val="00B51536"/>
    <w:rsid w:val="00B73521"/>
    <w:rsid w:val="00B86314"/>
    <w:rsid w:val="00B924AB"/>
    <w:rsid w:val="00BA1C2E"/>
    <w:rsid w:val="00BA3A75"/>
    <w:rsid w:val="00BB41C6"/>
    <w:rsid w:val="00BC200B"/>
    <w:rsid w:val="00BC4756"/>
    <w:rsid w:val="00BC69A4"/>
    <w:rsid w:val="00BD575C"/>
    <w:rsid w:val="00BE0680"/>
    <w:rsid w:val="00BE305F"/>
    <w:rsid w:val="00BE7BA3"/>
    <w:rsid w:val="00BF5682"/>
    <w:rsid w:val="00BF7B09"/>
    <w:rsid w:val="00C20A95"/>
    <w:rsid w:val="00C2692F"/>
    <w:rsid w:val="00C3207C"/>
    <w:rsid w:val="00C400E1"/>
    <w:rsid w:val="00C41187"/>
    <w:rsid w:val="00C63C31"/>
    <w:rsid w:val="00C72E7A"/>
    <w:rsid w:val="00C757A0"/>
    <w:rsid w:val="00C760DE"/>
    <w:rsid w:val="00C82630"/>
    <w:rsid w:val="00C85B4E"/>
    <w:rsid w:val="00C907F7"/>
    <w:rsid w:val="00CA2103"/>
    <w:rsid w:val="00CB6B99"/>
    <w:rsid w:val="00CD5B86"/>
    <w:rsid w:val="00CE4C87"/>
    <w:rsid w:val="00CE544A"/>
    <w:rsid w:val="00CF0BFA"/>
    <w:rsid w:val="00CF7B42"/>
    <w:rsid w:val="00D11E1C"/>
    <w:rsid w:val="00D1326C"/>
    <w:rsid w:val="00D160B0"/>
    <w:rsid w:val="00D17F94"/>
    <w:rsid w:val="00D223FC"/>
    <w:rsid w:val="00D26D1E"/>
    <w:rsid w:val="00D44C2E"/>
    <w:rsid w:val="00D474CF"/>
    <w:rsid w:val="00D5547E"/>
    <w:rsid w:val="00D869A1"/>
    <w:rsid w:val="00D91A4D"/>
    <w:rsid w:val="00DA413F"/>
    <w:rsid w:val="00DA4584"/>
    <w:rsid w:val="00DA614B"/>
    <w:rsid w:val="00DC3060"/>
    <w:rsid w:val="00DE0FB2"/>
    <w:rsid w:val="00DF093E"/>
    <w:rsid w:val="00E01F42"/>
    <w:rsid w:val="00E206D6"/>
    <w:rsid w:val="00E32E2C"/>
    <w:rsid w:val="00E3366E"/>
    <w:rsid w:val="00E40DDF"/>
    <w:rsid w:val="00E43C17"/>
    <w:rsid w:val="00E52086"/>
    <w:rsid w:val="00E543A6"/>
    <w:rsid w:val="00E60479"/>
    <w:rsid w:val="00E61D73"/>
    <w:rsid w:val="00E67A0F"/>
    <w:rsid w:val="00E67F58"/>
    <w:rsid w:val="00E73684"/>
    <w:rsid w:val="00E818D6"/>
    <w:rsid w:val="00E87F7A"/>
    <w:rsid w:val="00E96BD7"/>
    <w:rsid w:val="00EA0DB1"/>
    <w:rsid w:val="00EA0EE9"/>
    <w:rsid w:val="00EB047C"/>
    <w:rsid w:val="00ED52CA"/>
    <w:rsid w:val="00ED5860"/>
    <w:rsid w:val="00EE35C9"/>
    <w:rsid w:val="00F05ECA"/>
    <w:rsid w:val="00F16C86"/>
    <w:rsid w:val="00F3566E"/>
    <w:rsid w:val="00F375FB"/>
    <w:rsid w:val="00F41AC1"/>
    <w:rsid w:val="00F4367A"/>
    <w:rsid w:val="00F445B1"/>
    <w:rsid w:val="00F45CD4"/>
    <w:rsid w:val="00F5448E"/>
    <w:rsid w:val="00F66DCA"/>
    <w:rsid w:val="00F74F53"/>
    <w:rsid w:val="00F7606D"/>
    <w:rsid w:val="00F81670"/>
    <w:rsid w:val="00F82024"/>
    <w:rsid w:val="00F92053"/>
    <w:rsid w:val="00F9500D"/>
    <w:rsid w:val="00F95BC9"/>
    <w:rsid w:val="00FA43F8"/>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5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1086392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962699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232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BF90-30CF-4DCE-9C6D-AFC4F33E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6119968E</Template>
  <TotalTime>9</TotalTime>
  <Pages>4</Pages>
  <Words>1017</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jason.munro</dc:creator>
  <cp:lastModifiedBy>JMitchell</cp:lastModifiedBy>
  <cp:revision>5</cp:revision>
  <cp:lastPrinted>2017-05-04T08:35:00Z</cp:lastPrinted>
  <dcterms:created xsi:type="dcterms:W3CDTF">2018-11-16T10:58:00Z</dcterms:created>
  <dcterms:modified xsi:type="dcterms:W3CDTF">2018-12-10T11:02:00Z</dcterms:modified>
</cp:coreProperties>
</file>